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pPr>
      <w:r>
        <w:rPr>
          <w:b/>
          <w:color w:val="17675F"/>
          <w:sz w:val="20"/>
        </w:rPr>
        <w:t>Purposeful Security</w:t>
      </w:r>
    </w:p>
    <w:p>
      <w:pPr>
        <w:pStyle w:val="Title"/>
      </w:pPr>
      <w:r>
        <w:t>Awareness and Training Plan</w:t>
      </w:r>
    </w:p>
    <w:p>
      <w:r>
        <w:t>Use this plan to choose and approve local training for managers, system administrators and users who support the organization's CUI environment. Connect training to actual risks, current procedures and assigned security duties, then check understanding and follow up on gaps.</w:t>
      </w:r>
    </w:p>
    <w:p>
      <w:pPr>
        <w:spacing w:after="140"/>
      </w:pPr>
      <w:r>
        <w:rPr>
          <w:b/>
        </w:rPr>
        <w:t>Editable template | Replace every [REPLACE ...] field before approval and use.</w:t>
      </w:r>
    </w:p>
    <w:p>
      <w:pPr>
        <w:spacing w:after="140"/>
      </w:pPr>
      <w:r>
        <w:rPr>
          <w:b w:val="0"/>
          <w:sz w:val="18"/>
        </w:rPr>
        <w:t>Source review date 2026-10-23 | CMMC Level 2 Awareness and Training 3.2</w:t>
      </w:r>
    </w:p>
    <w:p>
      <w:pPr>
        <w:pStyle w:val="Heading1"/>
      </w:pPr>
      <w:r>
        <w:t>Prepare and approve the plan</w:t>
      </w:r>
    </w:p>
    <w:p>
      <w:pPr>
        <w:spacing w:after="140"/>
      </w:pPr>
      <w:r>
        <w:rPr>
          <w:b w:val="0"/>
        </w:rPr>
        <w:t>This is a working template, not an approved organizational policy. The training owner completes the fields, confirms the reporting routes with Security and HR, and submits the plan to the designated approver before it is issued.</w:t>
      </w:r>
    </w:p>
    <w:p>
      <w:pPr>
        <w:spacing w:after="180"/>
      </w:pPr>
      <w:r>
        <w:rPr>
          <w:b/>
        </w:rPr>
        <w:t xml:space="preserve">Organization  </w:t>
      </w:r>
      <w:r>
        <w:t>[REPLACE organization name]</w:t>
      </w:r>
    </w:p>
    <w:p>
      <w:pPr>
        <w:spacing w:after="180"/>
      </w:pPr>
      <w:r>
        <w:rPr>
          <w:b/>
        </w:rPr>
        <w:t xml:space="preserve">Plan owner  </w:t>
      </w:r>
      <w:r>
        <w:t>[REPLACE name or assigned role and contact]</w:t>
      </w:r>
    </w:p>
    <w:p>
      <w:pPr>
        <w:spacing w:after="180"/>
      </w:pPr>
      <w:r>
        <w:rPr>
          <w:b/>
        </w:rPr>
        <w:t xml:space="preserve">Plan version and effective date  </w:t>
      </w:r>
      <w:r>
        <w:t>[REPLACE version and approved effective date]</w:t>
      </w:r>
    </w:p>
    <w:p>
      <w:pPr>
        <w:spacing w:after="180"/>
      </w:pPr>
      <w:r>
        <w:rPr>
          <w:b/>
        </w:rPr>
        <w:t xml:space="preserve">Scope  </w:t>
      </w:r>
      <w:r>
        <w:t>[REPLACE systems projects locations and personnel in scope]</w:t>
      </w:r>
    </w:p>
    <w:p>
      <w:pPr>
        <w:spacing w:after="180"/>
      </w:pPr>
      <w:r>
        <w:rPr>
          <w:b w:val="0"/>
        </w:rPr>
        <w:t>________________________________________________________________________</w:t>
      </w:r>
    </w:p>
    <w:p>
      <w:pPr>
        <w:spacing w:after="180"/>
      </w:pPr>
      <w:r>
        <w:rPr>
          <w:b/>
        </w:rPr>
        <w:t xml:space="preserve">Approver and approval date  </w:t>
      </w:r>
      <w:r>
        <w:t>[REPLACE authorized approver decision and date]</w:t>
      </w:r>
    </w:p>
    <w:p>
      <w:pPr>
        <w:pStyle w:val="Heading2"/>
      </w:pPr>
      <w:r>
        <w:t>Choose frequency and triggers</w:t>
      </w:r>
    </w:p>
    <w:p>
      <w:pPr>
        <w:spacing w:after="140"/>
      </w:pPr>
      <w:r>
        <w:rPr>
          <w:b w:val="0"/>
        </w:rPr>
        <w:t>Select the schedule your organization needs and record the reason. The 3.2 requirements do not create a universal annual interval. Examples to consider are onboarding, changed duties, a new procedure, changed risks, an incident lesson or a failed understanding check.</w:t>
      </w:r>
    </w:p>
    <w:p>
      <w:pPr>
        <w:spacing w:after="180"/>
      </w:pPr>
      <w:r>
        <w:rPr>
          <w:b/>
        </w:rPr>
        <w:t xml:space="preserve">Chosen frequency and reason  </w:t>
      </w:r>
      <w:r>
        <w:t>[REPLACE schedule and reason]</w:t>
      </w:r>
    </w:p>
    <w:p>
      <w:pPr>
        <w:spacing w:after="180"/>
      </w:pPr>
      <w:r>
        <w:rPr>
          <w:b/>
        </w:rPr>
        <w:t xml:space="preserve">Additional triggers and owner  </w:t>
      </w:r>
      <w:r>
        <w:t>[REPLACE events that cause training and who initiates it]</w:t>
      </w:r>
    </w:p>
    <w:p>
      <w:r>
        <w:br w:type="page"/>
      </w:r>
    </w:p>
    <w:p>
      <w:pPr>
        <w:pStyle w:val="Heading1"/>
      </w:pPr>
      <w:r>
        <w:t>Map risks and procedures to the audience</w:t>
      </w:r>
    </w:p>
    <w:p>
      <w:pPr>
        <w:spacing w:after="140"/>
      </w:pPr>
      <w:r>
        <w:rPr>
          <w:b w:val="0"/>
        </w:rPr>
        <w:t>For 3.2.1, identify risks in your work involving controlled unclassified information, or CUI, and identify the policies, standards and procedures people need to follow. Explain how each audience can create or reduce those risks.</w:t>
      </w:r>
    </w:p>
    <w:p>
      <w:pPr>
        <w:spacing w:after="180"/>
      </w:pPr>
      <w:r>
        <w:rPr>
          <w:b/>
        </w:rPr>
        <w:t xml:space="preserve">Activities involving CUI  </w:t>
      </w:r>
      <w:r>
        <w:t>[REPLACE relevant work such as receiving storing sharing printing or remote access]</w:t>
      </w:r>
    </w:p>
    <w:p>
      <w:pPr>
        <w:spacing w:after="180"/>
      </w:pPr>
      <w:r>
        <w:rPr>
          <w:b/>
        </w:rPr>
        <w:t xml:space="preserve">Risks to explain  </w:t>
      </w:r>
      <w:r>
        <w:t>[REPLACE risks tied to those activities]</w:t>
      </w:r>
    </w:p>
    <w:p>
      <w:pPr>
        <w:spacing w:after="180"/>
      </w:pPr>
      <w:r>
        <w:rPr>
          <w:b w:val="0"/>
        </w:rPr>
        <w:t>________________________________________________________________________</w:t>
      </w:r>
    </w:p>
    <w:tbl>
      <w:tblPr>
        <w:tblW w:type="auto" w:w="0"/>
        <w:tblLayout w:type="fixed"/>
        <w:tblLook w:firstColumn="1" w:firstRow="1" w:lastColumn="0" w:lastRow="0" w:noHBand="0" w:noVBand="1" w:val="04A0"/>
      </w:tblPr>
      <w:tblGrid>
        <w:gridCol w:w="1728"/>
        <w:gridCol w:w="4536"/>
        <w:gridCol w:w="3816"/>
      </w:tblGrid>
      <w:tr>
        <w:trPr>
          <w:cantSplit/>
          <w:tblHeader/>
        </w:trPr>
        <w:tc>
          <w:tcPr>
            <w:tcW w:type="dxa" w:w="1728"/>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Audience</w:t>
            </w:r>
          </w:p>
        </w:tc>
        <w:tc>
          <w:tcPr>
            <w:tcW w:type="dxa" w:w="453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Topics to tailor</w:t>
            </w:r>
          </w:p>
        </w:tc>
        <w:tc>
          <w:tcPr>
            <w:tcW w:type="dxa" w:w="381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Local document and version</w:t>
            </w:r>
          </w:p>
        </w:tc>
      </w:tr>
      <w:tr>
        <w:trPr>
          <w:cantSplit/>
        </w:trPr>
        <w:tc>
          <w:tcPr>
            <w:tcW w:type="dxa" w:w="1728"/>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Managers</w:t>
            </w:r>
          </w:p>
        </w:tc>
        <w:tc>
          <w:tcPr>
            <w:tcW w:type="dxa" w:w="453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decisions approvals staffing and escalation topics]</w:t>
            </w:r>
          </w:p>
        </w:tc>
        <w:tc>
          <w:tcPr>
            <w:tcW w:type="dxa" w:w="381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title version and internal reference]</w:t>
            </w:r>
          </w:p>
        </w:tc>
      </w:tr>
      <w:tr>
        <w:trPr>
          <w:cantSplit/>
        </w:trPr>
        <w:tc>
          <w:tcPr>
            <w:tcW w:type="dxa" w:w="1728"/>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System administrators</w:t>
            </w:r>
          </w:p>
        </w:tc>
        <w:tc>
          <w:tcPr>
            <w:tcW w:type="dxa" w:w="453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identity access changes monitoring and incident duties]</w:t>
            </w:r>
          </w:p>
        </w:tc>
        <w:tc>
          <w:tcPr>
            <w:tcW w:type="dxa" w:w="381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title version and internal reference]</w:t>
            </w:r>
          </w:p>
        </w:tc>
      </w:tr>
      <w:tr>
        <w:trPr>
          <w:cantSplit/>
        </w:trPr>
        <w:tc>
          <w:tcPr>
            <w:tcW w:type="dxa" w:w="1728"/>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Users</w:t>
            </w:r>
          </w:p>
        </w:tc>
        <w:tc>
          <w:tcPr>
            <w:tcW w:type="dxa" w:w="453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handling sharing approved tools and reporting topics]</w:t>
            </w:r>
          </w:p>
        </w:tc>
        <w:tc>
          <w:tcPr>
            <w:tcW w:type="dxa" w:w="381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title version and internal reference]</w:t>
            </w:r>
          </w:p>
        </w:tc>
      </w:tr>
    </w:tbl>
    <w:p>
      <w:pPr>
        <w:spacing w:after="40"/>
      </w:pPr>
      <w:r>
        <w:rPr>
          <w:b w:val="0"/>
        </w:rPr>
      </w:r>
    </w:p>
    <w:p>
      <w:pPr>
        <w:pStyle w:val="Heading2"/>
      </w:pPr>
      <w:r>
        <w:t>Tailor the local technology examples</w:t>
      </w:r>
    </w:p>
    <w:p>
      <w:pPr>
        <w:spacing w:after="140"/>
      </w:pPr>
      <w:r>
        <w:rPr>
          <w:b w:val="0"/>
        </w:rPr>
        <w:t>Use the actual approved services, tenant, identity setup and reporting tools in scope. A Microsoft commercial or government service label does not itself approve CUI use. For AD DS, hybrid or Entra environments, name the relevant local sign-in, account support and administrative procedures. Use a CUI-free walk-through.</w:t>
      </w:r>
    </w:p>
    <w:p>
      <w:pPr>
        <w:spacing w:after="180"/>
      </w:pPr>
      <w:r>
        <w:rPr>
          <w:b/>
        </w:rPr>
        <w:t xml:space="preserve">Approved tools and environment  </w:t>
      </w:r>
      <w:r>
        <w:t>[REPLACE services tenant and identity model in scope]</w:t>
      </w:r>
    </w:p>
    <w:p>
      <w:pPr>
        <w:spacing w:after="180"/>
      </w:pPr>
      <w:r>
        <w:rPr>
          <w:b/>
        </w:rPr>
        <w:t xml:space="preserve">Local procedure references  </w:t>
      </w:r>
      <w:r>
        <w:t>[REPLACE titles versions owners and approved locations]</w:t>
      </w:r>
    </w:p>
    <w:p>
      <w:pPr>
        <w:spacing w:after="180"/>
      </w:pPr>
      <w:r>
        <w:rPr>
          <w:b w:val="0"/>
        </w:rPr>
        <w:t>________________________________________________________________________</w:t>
      </w:r>
    </w:p>
    <w:p>
      <w:r>
        <w:br w:type="page"/>
      </w:r>
    </w:p>
    <w:p>
      <w:pPr>
        <w:pStyle w:val="Heading1"/>
      </w:pPr>
      <w:r>
        <w:t>Train people for assigned duties</w:t>
      </w:r>
    </w:p>
    <w:p>
      <w:pPr>
        <w:spacing w:after="140"/>
      </w:pPr>
      <w:r>
        <w:rPr>
          <w:b w:val="0"/>
        </w:rPr>
        <w:t>For 3.2.2, define the information security duties, assign designated personnel and train them to carry out those duties. General awareness training can support role training, but a generic course does not show that a person can perform a particular administrative, management or response task.</w:t>
      </w:r>
    </w:p>
    <w:tbl>
      <w:tblPr>
        <w:tblW w:type="auto" w:w="0"/>
        <w:tblLayout w:type="fixed"/>
        <w:tblLook w:firstColumn="1" w:firstRow="1" w:lastColumn="0" w:lastRow="0" w:noHBand="0" w:noVBand="1" w:val="04A0"/>
      </w:tblPr>
      <w:tblGrid>
        <w:gridCol w:w="2952"/>
        <w:gridCol w:w="3024"/>
        <w:gridCol w:w="4104"/>
      </w:tblGrid>
      <w:tr>
        <w:trPr>
          <w:cantSplit/>
          <w:tblHeader/>
        </w:trPr>
        <w:tc>
          <w:tcPr>
            <w:tcW w:type="dxa" w:w="2952"/>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Assigned duty</w:t>
            </w:r>
          </w:p>
        </w:tc>
        <w:tc>
          <w:tcPr>
            <w:tcW w:type="dxa" w:w="302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Designated person or role</w:t>
            </w:r>
          </w:p>
        </w:tc>
        <w:tc>
          <w:tcPr>
            <w:tcW w:type="dxa" w:w="410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Training and practical check</w:t>
            </w:r>
          </w:p>
        </w:tc>
      </w:tr>
      <w:tr>
        <w:trPr>
          <w:cantSplit/>
        </w:trPr>
        <w:tc>
          <w:tcPr>
            <w:tcW w:type="dxa" w:w="2952"/>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duty and system]</w:t>
            </w:r>
          </w:p>
        </w:tc>
        <w:tc>
          <w:tcPr>
            <w:tcW w:type="dxa" w:w="302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named assignee or assigned role]</w:t>
            </w:r>
          </w:p>
        </w:tc>
        <w:tc>
          <w:tcPr>
            <w:tcW w:type="dxa" w:w="410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local procedure and demonstration]</w:t>
            </w:r>
          </w:p>
        </w:tc>
      </w:tr>
      <w:tr>
        <w:trPr>
          <w:cantSplit/>
        </w:trPr>
        <w:tc>
          <w:tcPr>
            <w:tcW w:type="dxa" w:w="2952"/>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duty and system]</w:t>
            </w:r>
          </w:p>
        </w:tc>
        <w:tc>
          <w:tcPr>
            <w:tcW w:type="dxa" w:w="302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named assignee or assigned role]</w:t>
            </w:r>
          </w:p>
        </w:tc>
        <w:tc>
          <w:tcPr>
            <w:tcW w:type="dxa" w:w="410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local procedure and demonstration]</w:t>
            </w:r>
          </w:p>
        </w:tc>
      </w:tr>
      <w:tr>
        <w:trPr>
          <w:cantSplit/>
        </w:trPr>
        <w:tc>
          <w:tcPr>
            <w:tcW w:type="dxa" w:w="2952"/>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duty and system]</w:t>
            </w:r>
          </w:p>
        </w:tc>
        <w:tc>
          <w:tcPr>
            <w:tcW w:type="dxa" w:w="302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named assignee or assigned role]</w:t>
            </w:r>
          </w:p>
        </w:tc>
        <w:tc>
          <w:tcPr>
            <w:tcW w:type="dxa" w:w="410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local procedure and demonstration]</w:t>
            </w:r>
          </w:p>
        </w:tc>
      </w:tr>
    </w:tbl>
    <w:p>
      <w:pPr>
        <w:spacing w:after="40"/>
      </w:pPr>
      <w:r>
        <w:rPr>
          <w:b w:val="0"/>
        </w:rPr>
      </w:r>
    </w:p>
    <w:p>
      <w:pPr>
        <w:pStyle w:val="Heading2"/>
      </w:pPr>
      <w:r>
        <w:t>Practice recognition and reporting</w:t>
      </w:r>
    </w:p>
    <w:p>
      <w:pPr>
        <w:spacing w:after="140"/>
      </w:pPr>
      <w:r>
        <w:rPr>
          <w:b w:val="0"/>
        </w:rPr>
        <w:t>For 3.2.3, teach managers and employees to recognize and report potential insider indicators through approved channels. Use observable unauthorized access, concerning transfers or other locally identified indicators. Separate facts from assumptions. Do not use personality, protected characteristics or personal background as indicators.</w:t>
      </w:r>
    </w:p>
    <w:p>
      <w:pPr>
        <w:spacing w:after="180"/>
      </w:pPr>
      <w:r>
        <w:rPr>
          <w:b/>
        </w:rPr>
        <w:t xml:space="preserve">Approved indicators and examples  </w:t>
      </w:r>
      <w:r>
        <w:t>[REPLACE factual examples approved by Security and HR]</w:t>
      </w:r>
    </w:p>
    <w:p>
      <w:pPr>
        <w:spacing w:after="180"/>
      </w:pPr>
      <w:r>
        <w:rPr>
          <w:b/>
        </w:rPr>
        <w:t xml:space="preserve">Security and incident route  </w:t>
      </w:r>
      <w:r>
        <w:t>[REPLACE named organizational contact and approved channel]</w:t>
      </w:r>
    </w:p>
    <w:p>
      <w:pPr>
        <w:spacing w:after="180"/>
      </w:pPr>
      <w:r>
        <w:rPr>
          <w:b/>
        </w:rPr>
        <w:t xml:space="preserve">HR or insider concern route  </w:t>
      </w:r>
      <w:r>
        <w:t>[REPLACE designated HR contact and coordination rule]</w:t>
      </w:r>
    </w:p>
    <w:p>
      <w:pPr>
        <w:spacing w:after="180"/>
      </w:pPr>
      <w:r>
        <w:rPr>
          <w:b/>
        </w:rPr>
        <w:t xml:space="preserve">Urgent fallback  </w:t>
      </w:r>
      <w:r>
        <w:t>[REPLACE known phone on call or in person route if email is unavailable]</w:t>
      </w:r>
    </w:p>
    <w:p>
      <w:pPr>
        <w:spacing w:after="140"/>
      </w:pPr>
      <w:r>
        <w:rPr>
          <w:b w:val="0"/>
        </w:rPr>
        <w:t>Participants report concerns within their authority. Authorized responders handle investigation and containment. Follow privacy and anti-retaliation procedures. Use only fictional records during practice.</w:t>
      </w:r>
    </w:p>
    <w:p>
      <w:r>
        <w:br w:type="page"/>
      </w:r>
    </w:p>
    <w:p>
      <w:pPr>
        <w:pStyle w:val="Heading1"/>
      </w:pPr>
      <w:r>
        <w:t>Record delivery understanding and follow up</w:t>
      </w:r>
    </w:p>
    <w:p>
      <w:pPr>
        <w:spacing w:after="140"/>
      </w:pPr>
      <w:r>
        <w:rPr>
          <w:b w:val="0"/>
        </w:rPr>
        <w:t>Record what was assigned, what was delivered and what the participant understood or demonstrated. Mark missing attendance, incomplete role training and unresolved questions explicitly. Keep actual evidence in the organization's approved records location.</w:t>
      </w:r>
    </w:p>
    <w:p>
      <w:pPr>
        <w:spacing w:after="180"/>
      </w:pPr>
      <w:r>
        <w:rPr>
          <w:b/>
        </w:rPr>
        <w:t xml:space="preserve">Delivery method and facilitator  </w:t>
      </w:r>
      <w:r>
        <w:t>[REPLACE briefing walk through course or exercise and responsible person]</w:t>
      </w:r>
    </w:p>
    <w:p>
      <w:pPr>
        <w:spacing w:after="180"/>
      </w:pPr>
      <w:r>
        <w:rPr>
          <w:b/>
        </w:rPr>
        <w:t xml:space="preserve">Attendance or completion record  </w:t>
      </w:r>
      <w:r>
        <w:t>[REPLACE approved internal tracker or record reference]</w:t>
      </w:r>
    </w:p>
    <w:p>
      <w:pPr>
        <w:spacing w:after="180"/>
      </w:pPr>
      <w:r>
        <w:rPr>
          <w:b/>
        </w:rPr>
        <w:t xml:space="preserve">Understanding checks  </w:t>
      </w:r>
      <w:r>
        <w:t>[REPLACE questions explanation or practical demonstration and expected actions]</w:t>
      </w:r>
    </w:p>
    <w:p>
      <w:pPr>
        <w:spacing w:after="180"/>
      </w:pPr>
      <w:r>
        <w:rPr>
          <w:b w:val="0"/>
        </w:rPr>
        <w:t>________________________________________________________________________</w:t>
      </w:r>
    </w:p>
    <w:tbl>
      <w:tblPr>
        <w:tblW w:type="auto" w:w="0"/>
        <w:tblLayout w:type="fixed"/>
        <w:tblLook w:firstColumn="1" w:firstRow="1" w:lastColumn="0" w:lastRow="0" w:noHBand="0" w:noVBand="1" w:val="04A0"/>
      </w:tblPr>
      <w:tblGrid>
        <w:gridCol w:w="3744"/>
        <w:gridCol w:w="2376"/>
        <w:gridCol w:w="3960"/>
      </w:tblGrid>
      <w:tr>
        <w:trPr>
          <w:cantSplit/>
          <w:tblHeader/>
        </w:trPr>
        <w:tc>
          <w:tcPr>
            <w:tcW w:type="dxa" w:w="374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Gap or follow up</w:t>
            </w:r>
          </w:p>
        </w:tc>
        <w:tc>
          <w:tcPr>
            <w:tcW w:type="dxa" w:w="237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Owner and due date</w:t>
            </w:r>
          </w:p>
        </w:tc>
        <w:tc>
          <w:tcPr>
            <w:tcW w:type="dxa" w:w="3960"/>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Closure and evidence reference</w:t>
            </w:r>
          </w:p>
        </w:tc>
      </w:tr>
      <w:tr>
        <w:trPr>
          <w:cantSplit/>
        </w:trPr>
        <w:tc>
          <w:tcPr>
            <w:tcW w:type="dxa" w:w="374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observed gap or no gap recorded]</w:t>
            </w:r>
          </w:p>
        </w:tc>
        <w:tc>
          <w:tcPr>
            <w:tcW w:type="dxa" w:w="237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owner and date]</w:t>
            </w:r>
          </w:p>
        </w:tc>
        <w:tc>
          <w:tcPr>
            <w:tcW w:type="dxa" w:w="3960"/>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result date and internal reference]</w:t>
            </w:r>
          </w:p>
        </w:tc>
      </w:tr>
      <w:tr>
        <w:trPr>
          <w:cantSplit/>
        </w:trPr>
        <w:tc>
          <w:tcPr>
            <w:tcW w:type="dxa" w:w="374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observed gap or no gap recorded]</w:t>
            </w:r>
          </w:p>
        </w:tc>
        <w:tc>
          <w:tcPr>
            <w:tcW w:type="dxa" w:w="237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owner and date]</w:t>
            </w:r>
          </w:p>
        </w:tc>
        <w:tc>
          <w:tcPr>
            <w:tcW w:type="dxa" w:w="3960"/>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result date and internal reference]</w:t>
            </w:r>
          </w:p>
        </w:tc>
      </w:tr>
    </w:tbl>
    <w:p>
      <w:pPr>
        <w:spacing w:after="40"/>
      </w:pPr>
      <w:r>
        <w:rPr>
          <w:b w:val="0"/>
        </w:rPr>
      </w:r>
    </w:p>
    <w:p>
      <w:pPr>
        <w:spacing w:after="180"/>
      </w:pPr>
      <w:r>
        <w:rPr>
          <w:b/>
        </w:rPr>
        <w:t xml:space="preserve">Evidence storage and access  </w:t>
      </w:r>
      <w:r>
        <w:t>[REPLACE approved location access rule and retention reference]</w:t>
      </w:r>
    </w:p>
    <w:p>
      <w:pPr>
        <w:spacing w:after="180"/>
      </w:pPr>
      <w:r>
        <w:rPr>
          <w:b/>
        </w:rPr>
        <w:t xml:space="preserve">Review date and reviewer  </w:t>
      </w:r>
      <w:r>
        <w:t>[REPLACE date and owner for checking scope procedures and open actions]</w:t>
      </w:r>
    </w:p>
    <w:p>
      <w:pPr>
        <w:spacing w:after="140"/>
      </w:pPr>
      <w:r>
        <w:rPr>
          <w:b w:val="0"/>
        </w:rPr>
        <w:t>Adoption check: confirm the scope, local procedure versions, duty assignments, training schedule, contact routes, practical checks and evidence handling before the approver signs. Revise and reapprove when the organization's change process requires it.</w:t>
      </w:r>
    </w:p>
    <w:p>
      <w:pPr>
        <w:pStyle w:val="Heading2"/>
      </w:pPr>
      <w:r>
        <w:t>Reference and use limits</w:t>
      </w:r>
    </w:p>
    <w:p>
      <w:pPr>
        <w:spacing w:after="140"/>
      </w:pPr>
      <w:r>
        <w:rPr>
          <w:b w:val="0"/>
          <w:sz w:val="18"/>
        </w:rPr>
        <w:t>Assessment reference: NIST SP 800-171A, June 2018, section 3.2 Awareness and Training. These templates use practical examples and paraphrases. Review the official objectives and your applicable contractual and program requirements.</w:t>
      </w:r>
    </w:p>
    <w:p>
      <w:pPr>
        <w:spacing w:after="140"/>
      </w:pPr>
      <w:r>
        <w:rPr>
          <w:b w:val="0"/>
          <w:sz w:val="18"/>
        </w:rPr>
        <w:t>https://nvlpubs.nist.gov/nistpubs/SpecialPublications/NIST.SP.800-171A.pdf</w:t>
      </w:r>
    </w:p>
    <w:p>
      <w:pPr>
        <w:spacing w:after="140"/>
      </w:pPr>
      <w:r>
        <w:rPr>
          <w:b w:val="0"/>
          <w:sz w:val="18"/>
        </w:rPr>
        <w:t>Source review date: 2026-10-23. A completed template, attendance record or generic course certificate alone does not establish compliance. The organization must adopt suitable procedures, train people for their actual duties and retain evidence of what they understand and can do.</w:t>
      </w:r>
    </w:p>
    <w:sectPr>
      <w:footerReference w:type="default" r:id="rId9"/>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jc w:val="right"/>
    </w:pPr>
    <w:r>
      <w:rPr>
        <w:sz w:val="18"/>
      </w:rPr>
      <w:t xml:space="preserve">Purposeful Security  |  </w:t>
    </w:r>
    <w:fldSimple w:instr="PAGE">
      <w:r>
        <w:t>1</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59" w:lineRule="auto" w:after="140"/>
    </w:pPr>
    <w:rPr>
      <w:rFonts w:ascii="Arial" w:hAnsi="Arial"/>
      <w:b w:val="0"/>
      <w:color w:val="000000"/>
      <w:sz w:val="22"/>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Heading1">
    <w:name w:val="heading 1"/>
    <w:basedOn w:val="Normal"/>
    <w:next w:val="Normal"/>
    <w:link w:val="Heading1Char"/>
    <w:uiPriority w:val="9"/>
    <w:qFormat/>
    <w:pPr>
      <w:keepNext/>
      <w:keepLines/>
      <w:spacing w:before="24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pPr>
      <w:keepNext/>
      <w:keepLines/>
      <w:spacing w:before="24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pPr>
      <w:spacing w:after="240" w:line="259" w:lineRule="auto" w:before="0"/>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spacing w:line="259" w:lineRule="auto" w:after="140"/>
    </w:pPr>
    <w:rPr>
      <w:rFonts w:asciiTheme="majorHAnsi" w:eastAsiaTheme="majorEastAsia" w:hAnsiTheme="majorHAnsi" w:cstheme="majorBidi" w:ascii="Arial" w:hAnsi="Arial"/>
      <w:b w:val="0"/>
      <w:i/>
      <w:iCs/>
      <w:color w:val="000000"/>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Number">
    <w:name w:val="List Number"/>
    <w:basedOn w:val="Normal"/>
    <w:uiPriority w:val="99"/>
    <w:unhideWhenUsed/>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pPr>
      <w:numPr>
        <w:numId w:val="6"/>
      </w:numPr>
      <w:contextualSpacing/>
    </w:pPr>
  </w:style>
  <w:style w:type="paragraph" w:styleId="ListNumber3">
    <w:name w:val="List Number 3"/>
    <w:basedOn w:val="Normal"/>
    <w:uiPriority w:val="99"/>
    <w:unhideWhenUsed/>
    <w:pPr>
      <w:numPr>
        <w:numId w:val="7"/>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Number">
    <w:name w:val="List Number"/>
    <w:basedOn w:val="Normal"/>
    <w:uiPriority w:val="99"/>
    <w:unhideWhenUsed/>
    <w:pPr>
      <w:numPr>
        <w:numId w:val="5"/>
      </w:numPr>
      <w:contextualSpacing/>
    </w:pPr>
  </w:style>
  <w:style w:type="paragraph" w:styleId="ListNumber2">
    <w:name w:val="List Number 2"/>
    <w:basedOn w:val="Normal"/>
    <w:uiPriority w:val="99"/>
    <w:unhideWhenUsed/>
    <w:pPr>
      <w:numPr>
        <w:numId w:val="6"/>
      </w:numPr>
      <w:contextualSpacing/>
    </w:pPr>
  </w:style>
  <w:style w:type="paragraph" w:styleId="ListNumber3">
    <w:name w:val="List Number 3"/>
    <w:basedOn w:val="Normal"/>
    <w:uiPriority w:val="99"/>
    <w:unhideWhenUsed/>
    <w:pPr>
      <w:numPr>
        <w:numId w:val="7"/>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Awareness and Training Plan</dc:title>
  <dc:subject>Editable awareness and training working aid</dc:subject>
  <dc:creator/>
  <cp:keywords>Purposeful Security; CMMC; awareness; training; editable template</cp:keywords>
  <dc:description/>
  <cp:lastModifiedBy/>
  <cp:revision>1</cp:revision>
  <dcterms:created xsi:type="dcterms:W3CDTF">2026-10-23T00:00:00Z</dcterms:created>
  <dcterms:modified xsi:type="dcterms:W3CDTF">2026-10-23T00:00:00Z</dcterms:modified>
  <cp:category/>
  <dc:identifier/>
</cp:coreProperties>
</file>