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pPr>
      <w:r>
        <w:rPr>
          <w:b/>
          <w:color w:val="17675F"/>
          <w:sz w:val="20"/>
        </w:rPr>
        <w:t>Purposeful Security</w:t>
      </w:r>
    </w:p>
    <w:p>
      <w:pPr>
        <w:pStyle w:val="Title"/>
      </w:pPr>
      <w:r>
        <w:t>Security Reporting Instructions</w:t>
      </w:r>
    </w:p>
    <w:p>
      <w:r>
        <w:t>Adopt clear internal routes for suspected phishing, security incidents and potential insider or HR concerns. Employees should know how to report observable facts safely, including when email is unavailable. Complete and approve this template before distributing it.</w:t>
      </w:r>
    </w:p>
    <w:p>
      <w:pPr>
        <w:spacing w:after="140"/>
      </w:pPr>
      <w:r>
        <w:rPr>
          <w:b/>
        </w:rPr>
        <w:t>Editable template | Replace every [REPLACE ...] field before approval and use.</w:t>
      </w:r>
    </w:p>
    <w:p>
      <w:pPr>
        <w:spacing w:after="140"/>
      </w:pPr>
      <w:r>
        <w:rPr>
          <w:b w:val="0"/>
          <w:sz w:val="18"/>
        </w:rPr>
        <w:t>Source review date 2026-10-23 | CMMC Level 2 Awareness and Training 3.2</w:t>
      </w:r>
    </w:p>
    <w:p>
      <w:pPr>
        <w:pStyle w:val="Heading1"/>
      </w:pPr>
      <w:r>
        <w:t>Organization approval and local contacts</w:t>
      </w:r>
    </w:p>
    <w:p>
      <w:pPr>
        <w:spacing w:after="140"/>
      </w:pPr>
      <w:r>
        <w:rPr>
          <w:b w:val="0"/>
        </w:rPr>
        <w:t>This template is not an approved reporting policy. The designated Security Lead and HR representative must confirm the routes, privacy rules and escalation process. Replace every field and test the contact details through a safe practice check before approval.</w:t>
      </w:r>
    </w:p>
    <w:p>
      <w:pPr>
        <w:spacing w:after="180"/>
      </w:pPr>
      <w:r>
        <w:rPr>
          <w:b/>
        </w:rPr>
        <w:t xml:space="preserve">Organization and instruction owner  </w:t>
      </w:r>
      <w:r>
        <w:t>[REPLACE organization and responsible role]</w:t>
      </w:r>
    </w:p>
    <w:p>
      <w:pPr>
        <w:spacing w:after="180"/>
      </w:pPr>
      <w:r>
        <w:rPr>
          <w:b/>
        </w:rPr>
        <w:t xml:space="preserve">Version effective date and approver  </w:t>
      </w:r>
      <w:r>
        <w:t>[REPLACE version date and authorized approval]</w:t>
      </w:r>
    </w:p>
    <w:p>
      <w:pPr>
        <w:spacing w:after="180"/>
      </w:pPr>
      <w:r>
        <w:rPr>
          <w:b/>
        </w:rPr>
        <w:t xml:space="preserve">Security Lead or incident contact  </w:t>
      </w:r>
      <w:r>
        <w:t>[REPLACE name or role approved phone and internal reporting channel]</w:t>
      </w:r>
    </w:p>
    <w:p>
      <w:pPr>
        <w:spacing w:after="180"/>
      </w:pPr>
      <w:r>
        <w:rPr>
          <w:b/>
        </w:rPr>
        <w:t xml:space="preserve">Approved phishing reporting method  </w:t>
      </w:r>
      <w:r>
        <w:t>[REPLACE report button help desk or other safe internal method]</w:t>
      </w:r>
    </w:p>
    <w:p>
      <w:pPr>
        <w:spacing w:after="180"/>
      </w:pPr>
      <w:r>
        <w:rPr>
          <w:b/>
        </w:rPr>
        <w:t xml:space="preserve">HR or insider concern contact  </w:t>
      </w:r>
      <w:r>
        <w:t>[REPLACE designated HR name or role and confidential route]</w:t>
      </w:r>
    </w:p>
    <w:p>
      <w:pPr>
        <w:spacing w:after="180"/>
      </w:pPr>
      <w:r>
        <w:rPr>
          <w:b/>
        </w:rPr>
        <w:t xml:space="preserve">After hours or email unavailable fallback  </w:t>
      </w:r>
      <w:r>
        <w:t>[REPLACE known phone on call or in person route]</w:t>
      </w:r>
    </w:p>
    <w:p>
      <w:pPr>
        <w:spacing w:after="180"/>
      </w:pPr>
      <w:r>
        <w:rPr>
          <w:b/>
        </w:rPr>
        <w:t xml:space="preserve">Immediate safety emergency route  </w:t>
      </w:r>
      <w:r>
        <w:t>[REPLACE organization approved emergency instructions]</w:t>
      </w:r>
    </w:p>
    <w:p>
      <w:pPr>
        <w:spacing w:after="180"/>
      </w:pPr>
      <w:r>
        <w:rPr>
          <w:b/>
        </w:rPr>
        <w:t xml:space="preserve">Related procedures and record location  </w:t>
      </w:r>
      <w:r>
        <w:t>[REPLACE titles versions and approved internal references]</w:t>
      </w:r>
    </w:p>
    <w:p>
      <w:pPr>
        <w:spacing w:after="140"/>
      </w:pPr>
      <w:r>
        <w:rPr>
          <w:b w:val="0"/>
        </w:rPr>
        <w:t>Publish the approved contacts where personnel can find them without relying only on email. Review them after contact or procedure changes. Never use a number or link supplied only by a suspicious message to verify that message.</w:t>
      </w:r>
    </w:p>
    <w:p>
      <w:r>
        <w:br w:type="page"/>
      </w:r>
    </w:p>
    <w:p>
      <w:pPr>
        <w:pStyle w:val="Heading1"/>
      </w:pPr>
      <w:r>
        <w:t>Report phishing or a security incident</w:t>
      </w:r>
    </w:p>
    <w:p>
      <w:pPr>
        <w:spacing w:after="140"/>
      </w:pPr>
      <w:r>
        <w:rPr>
          <w:b w:val="0"/>
        </w:rPr>
        <w:t>Use the Security Lead, incident contact or approved phishing method for an unexpected support request, suspicious message, possible account compromise, lost device, unauthorized access or suspected exposure of information. Report promptly under the local procedure, even if you are unsure what happened.</w:t>
      </w:r>
    </w:p>
    <w:p>
      <w:pPr>
        <w:pStyle w:val="Heading2"/>
      </w:pPr>
      <w:r>
        <w:t>Take safe first steps</w:t>
      </w:r>
    </w:p>
    <w:p>
      <w:pPr>
        <w:pStyle w:val="ListNumber"/>
      </w:pPr>
      <w:r>
        <w:t>Stop interacting with the suspicious message or request. Do not click links, open attachments, scan codes, approve unexpected sign-ins or provide credentials.</w:t>
      </w:r>
    </w:p>
    <w:p>
      <w:pPr>
        <w:pStyle w:val="ListNumber"/>
      </w:pPr>
      <w:r>
        <w:t>Use the approved report button or other safe internal method. Do not forward a suspicious message, attachment or live link unless the approved procedure specifically describes how to submit it safely.</w:t>
      </w:r>
    </w:p>
    <w:p>
      <w:pPr>
        <w:pStyle w:val="ListNumber"/>
      </w:pPr>
      <w:r>
        <w:t>If you already acted, tell the incident contact what you did and when. Use a known route and a safe device if the local procedure directs it. Follow authorized responder instructions.</w:t>
      </w:r>
    </w:p>
    <w:p>
      <w:pPr>
        <w:pStyle w:val="ListNumber"/>
      </w:pPr>
      <w:r>
        <w:t>Keep the original message or record available as the local procedure allows. Do not delete, edit, copy to personal tools or investigate on your own. Carry out containment only within your assigned role and approved instructions.</w:t>
      </w:r>
    </w:p>
    <w:p>
      <w:pPr>
        <w:pStyle w:val="Heading2"/>
      </w:pPr>
      <w:r>
        <w:t>Provide facts through the approved route</w:t>
      </w:r>
    </w:p>
    <w:p>
      <w:pPr>
        <w:pStyle w:val="ListBullet"/>
      </w:pPr>
      <w:r>
        <w:t>Your approved callback details, the time and time zone, and the affected device or service.</w:t>
      </w:r>
    </w:p>
    <w:p>
      <w:pPr>
        <w:pStyle w:val="ListBullet"/>
      </w:pPr>
      <w:r>
        <w:t>What you observed, what you did and whether activity appears to be continuing.</w:t>
      </w:r>
    </w:p>
    <w:p>
      <w:pPr>
        <w:pStyle w:val="ListBullet"/>
      </w:pPr>
      <w:r>
        <w:t>A safe internal message, ticket or log reference. Avoid copying CUI, passwords or unnecessary personal information into a report.</w:t>
      </w:r>
    </w:p>
    <w:p>
      <w:pPr>
        <w:pStyle w:val="Heading2"/>
      </w:pPr>
      <w:r>
        <w:t>If email is unavailable or the matter is urgent</w:t>
      </w:r>
    </w:p>
    <w:p>
      <w:pPr>
        <w:spacing w:after="140"/>
      </w:pPr>
      <w:r>
        <w:rPr>
          <w:b w:val="0"/>
        </w:rPr>
        <w:t>Use the approved phone, on-call or in-person fallback listed on the first page. If an immediate threat to safety exists, use the organization's emergency route. If your first contact is unavailable, follow the local escalation procedure; do not wait for email to return.</w:t>
      </w:r>
    </w:p>
    <w:p>
      <w:pPr>
        <w:spacing w:after="180"/>
      </w:pPr>
      <w:r>
        <w:rPr>
          <w:b/>
        </w:rPr>
        <w:t xml:space="preserve">Escalation if the first contact is unavailable  </w:t>
      </w:r>
      <w:r>
        <w:t>[REPLACE named backup role and known route]</w:t>
      </w:r>
    </w:p>
    <w:p>
      <w:r>
        <w:br w:type="page"/>
      </w:r>
    </w:p>
    <w:p>
      <w:pPr>
        <w:pStyle w:val="Heading1"/>
      </w:pPr>
      <w:r>
        <w:t>Report an insider or HR concern</w:t>
      </w:r>
    </w:p>
    <w:p>
      <w:pPr>
        <w:spacing w:after="140"/>
      </w:pPr>
      <w:r>
        <w:rPr>
          <w:b w:val="0"/>
        </w:rPr>
        <w:t>Use the approved Security Lead or incident route for observable unauthorized access, concerning transfers or other locally identified potential insider indicators. Use the designated HR route for personnel concerns. Where a concern involves both security and personnel matters, follow the approved coordination procedure so the authorized Security and HR contacts can assess it.</w:t>
      </w:r>
    </w:p>
    <w:p>
      <w:pPr>
        <w:pStyle w:val="Heading2"/>
      </w:pPr>
      <w:r>
        <w:t>Describe what you observed</w:t>
      </w:r>
    </w:p>
    <w:p>
      <w:pPr>
        <w:pStyle w:val="ListBullet"/>
      </w:pPr>
      <w:r>
        <w:t>State the date, time, system and specific observed action, with an approved record reference when available.</w:t>
      </w:r>
    </w:p>
    <w:p>
      <w:pPr>
        <w:pStyle w:val="ListBullet"/>
      </w:pPr>
      <w:r>
        <w:t>Separate what you know from what you assume. An unusual event may be an error, a compromised account or misuse; a reporter does not decide intent.</w:t>
      </w:r>
    </w:p>
    <w:p>
      <w:pPr>
        <w:pStyle w:val="ListBullet"/>
      </w:pPr>
      <w:r>
        <w:t>Use only factual indicators approved by the organization. Do not profile people by background, protected characteristics, personality or personal beliefs.</w:t>
      </w:r>
    </w:p>
    <w:p>
      <w:pPr>
        <w:pStyle w:val="ListBullet"/>
      </w:pPr>
      <w:r>
        <w:t>Share concerns only with authorized recipients. Follow confidentiality, privacy and anti-retaliation procedures.</w:t>
      </w:r>
    </w:p>
    <w:p>
      <w:pPr>
        <w:pStyle w:val="Heading2"/>
      </w:pPr>
      <w:r>
        <w:t>Keep the response within your authority</w:t>
      </w:r>
    </w:p>
    <w:p>
      <w:pPr>
        <w:spacing w:after="140"/>
      </w:pPr>
      <w:r>
        <w:rPr>
          <w:b w:val="0"/>
        </w:rPr>
        <w:t>Do not accuse or confront a colleague, investigate independently, expand monitoring or retaliate. Preserve information only as the local procedure and your role allow. Authorized responders decide whether investigation or containment is needed. For an urgent concern or unavailable email, use the approved fallback on the first page.</w:t>
      </w:r>
    </w:p>
    <w:p>
      <w:pPr>
        <w:pStyle w:val="Heading2"/>
      </w:pPr>
      <w:r>
        <w:t>Practice and maintain these instructions</w:t>
      </w:r>
    </w:p>
    <w:p>
      <w:pPr>
        <w:spacing w:after="140"/>
      </w:pPr>
      <w:r>
        <w:rPr>
          <w:b w:val="0"/>
        </w:rPr>
        <w:t>During CUI-free training, ask each participant to find the right route, explain what facts they would report and identify the fallback. Record missing knowledge and correct it. Confirm the contact details after role changes and during the organization's chosen review cycle.</w:t>
      </w:r>
    </w:p>
    <w:p>
      <w:pPr>
        <w:spacing w:after="140"/>
      </w:pPr>
      <w:r>
        <w:rPr>
          <w:b/>
        </w:rPr>
        <w:t>Keep CUI and real personnel allegations in approved organizational systems. Do not send CUI, suspicious attachments, credentials or completed incident reports to the Purposeful Security website or its contact mailbox.</w:t>
      </w:r>
    </w:p>
    <w:p>
      <w:pPr>
        <w:pStyle w:val="Heading2"/>
      </w:pPr>
      <w:r>
        <w:t>Reference and use limits</w:t>
      </w:r>
    </w:p>
    <w:p>
      <w:pPr>
        <w:spacing w:after="140"/>
      </w:pPr>
      <w:r>
        <w:rPr>
          <w:b w:val="0"/>
          <w:sz w:val="18"/>
        </w:rPr>
        <w:t>Assessment reference: NIST SP 800-171A, June 2018, section 3.2 Awareness and Training. These templates use practical examples and paraphrases. Review the official objectives and your applicable contractual and program requirements.</w:t>
      </w:r>
    </w:p>
    <w:p>
      <w:pPr>
        <w:spacing w:after="140"/>
      </w:pPr>
      <w:r>
        <w:rPr>
          <w:b w:val="0"/>
          <w:sz w:val="18"/>
        </w:rPr>
        <w:t>https://nvlpubs.nist.gov/nistpubs/SpecialPublications/NIST.SP.800-171A.pdf</w:t>
      </w:r>
    </w:p>
    <w:p>
      <w:pPr>
        <w:spacing w:after="140"/>
      </w:pPr>
      <w:r>
        <w:rPr>
          <w:b w:val="0"/>
          <w:sz w:val="18"/>
        </w:rPr>
        <w:t>Source review date: 2026-10-23. A completed template, attendance record or generic course certificate alone does not establish compliance. The organization must adopt suitable procedures, train people for their actual duties and retain evidence of what they understand and can do.</w:t>
      </w:r>
    </w:p>
    <w:sectPr>
      <w:footerReference w:type="default" r:id="rId9"/>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right"/>
    </w:pPr>
    <w:r>
      <w:rPr>
        <w:sz w:val="18"/>
      </w:rPr>
      <w:t xml:space="preserve">Purposeful Security  |  </w:t>
    </w:r>
    <w:fldSimple w:instr="PAGE">
      <w: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59" w:lineRule="auto" w:after="140"/>
    </w:pPr>
    <w:rPr>
      <w:rFonts w:ascii="Arial" w:hAnsi="Arial"/>
      <w:b w:val="0"/>
      <w:color w:val="000000"/>
      <w:sz w:val="22"/>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Heading1">
    <w:name w:val="heading 1"/>
    <w:basedOn w:val="Normal"/>
    <w:next w:val="Normal"/>
    <w:link w:val="Heading1Char"/>
    <w:uiPriority w:val="9"/>
    <w:qFormat/>
    <w:pPr>
      <w:keepNext/>
      <w:keepLines/>
      <w:spacing w:before="24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pPr>
      <w:keepNext/>
      <w:keepLines/>
      <w:spacing w:before="24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spacing w:after="240" w:line="259" w:lineRule="auto" w:before="0"/>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spacing w:line="259" w:lineRule="auto" w:after="140"/>
    </w:pPr>
    <w:rPr>
      <w:rFonts w:asciiTheme="majorHAnsi" w:eastAsiaTheme="majorEastAsia" w:hAnsiTheme="majorHAnsi" w:cstheme="majorBidi" w:ascii="Arial" w:hAnsi="Arial"/>
      <w:b w:val="0"/>
      <w:i/>
      <w:iCs/>
      <w:color w:val="000000"/>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unhideWhenUsed/>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Number">
    <w:name w:val="List Number"/>
    <w:basedOn w:val="Normal"/>
    <w:uiPriority w:val="99"/>
    <w:unhideWhenUsed/>
    <w:pPr>
      <w:numPr>
        <w:numId w:val="5"/>
      </w:numPr>
      <w:contextualSpacing/>
    </w:pPr>
  </w:style>
  <w:style w:type="paragraph" w:styleId="ListNumber2">
    <w:name w:val="List Number 2"/>
    <w:basedOn w:val="Normal"/>
    <w:uiPriority w:val="99"/>
    <w:unhideWhenUsed/>
    <w:pPr>
      <w:numPr>
        <w:numId w:val="6"/>
      </w:numPr>
      <w:contextualSpacing/>
    </w:pPr>
  </w:style>
  <w:style w:type="paragraph" w:styleId="ListNumber3">
    <w:name w:val="List Number 3"/>
    <w:basedOn w:val="Normal"/>
    <w:uiPriority w:val="99"/>
    <w:unhideWhenUsed/>
    <w:pPr>
      <w:numPr>
        <w:numId w:val="7"/>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Reporting Instructions</dc:title>
  <dc:subject>Editable awareness and training working aid</dc:subject>
  <dc:creator/>
  <cp:keywords>Purposeful Security; CMMC; awareness; training; editable template</cp:keywords>
  <dc:description/>
  <cp:lastModifiedBy/>
  <cp:revision>1</cp:revision>
  <dcterms:created xsi:type="dcterms:W3CDTF">2026-10-23T00:00:00Z</dcterms:created>
  <dcterms:modified xsi:type="dcterms:W3CDTF">2026-10-23T00:00:00Z</dcterms:modified>
  <cp:category/>
  <dc:identifier/>
</cp:coreProperties>
</file>