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Physical Protection procedure</w:t>
      </w:r>
    </w:p>
    <w:p>
      <w:r>
        <w:rPr>
          <w:b w:val="0"/>
        </w:rPr>
        <w:t>Adapt these operational steps to the approved facility and alternate-work scope. Use them to control access, verify protection and monitoring, handle visitors and access devices, maintain physical logs and respond to failures. Record actual actions separately from proposed checks.</w:t>
      </w:r>
    </w:p>
    <w:p>
      <w:r>
        <w:rPr>
          <w:b/>
        </w:rPr>
        <w:t>Editable working aid for CMMC Level 2 Physical Protection 3.10.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w:t>
      </w:r>
    </w:p>
    <w:p>
      <w:r>
        <w:rPr>
          <w:b/>
        </w:rPr>
        <w:t xml:space="preserve">Owner and backup  </w:t>
      </w:r>
      <w:r>
        <w:t>[REPLACE facility lead system owner access-device custodian visitor host alternate-work approver and verified escalation reference]</w:t>
      </w:r>
    </w:p>
    <w:p>
      <w:r>
        <w:rPr>
          <w:b/>
        </w:rPr>
        <w:t xml:space="preserve">Approved scope and version  </w:t>
      </w:r>
      <w:r>
        <w:t>[REPLACE systems equipment areas support dependencies providers alternate work and effective version]</w:t>
      </w:r>
    </w:p>
    <w:p>
      <w:r>
        <w:rPr>
          <w:b/>
        </w:rPr>
        <w:t xml:space="preserve">Authorization and records  </w:t>
      </w:r>
      <w:r>
        <w:t>[REPLACE access decisions safe inspection authority restricted record locations and evidence protection]</w:t>
      </w:r>
    </w:p>
    <w:p>
      <w:r>
        <w:rPr>
          <w:b/>
        </w:rPr>
        <w:t xml:space="preserve">Stop conditions  </w:t>
      </w:r>
      <w:r>
        <w:t>[REPLACE unapproved access lost escort missing logs unreturned device monitoring failure unsafe site or suspected disclosure]</w:t>
      </w:r>
    </w:p>
    <w:p>
      <w:r>
        <w:rPr>
          <w:b/>
        </w:rPr>
        <w:t>Keep completed material in your approved environment. Keep CUI, home addresses/layouts, visitor identities, combinations, badge/key values, floor plans, detailed access records and evidence in approved protected storage. Use restricted references. Do not send completed records or exercise answers to this website. Do not attempt unauthorized entry, bypass locks, stage an intrusion, disable alarms or interfere with power or safety systems as an exercise.</w:t>
      </w:r>
    </w:p>
    <w:p>
      <w:pPr>
        <w:pStyle w:val="Heading2"/>
      </w:pPr>
      <w:r>
        <w:t>Prepare each check</w:t>
      </w:r>
    </w:p>
    <w:p>
      <w:pPr>
        <w:pStyle w:val="ListNumber"/>
        <w:numPr>
          <w:ilvl w:val="0"/>
          <w:numId w:val="10"/>
        </w:numPr>
      </w:pPr>
      <w:r>
        <w:t>Confirm the relevant requirement, actual location and responsible party. Use restricted references rather than visitor identities, home details or access-device secrets in ordinary trackers.</w:t>
      </w:r>
    </w:p>
    <w:p>
      <w:pPr>
        <w:pStyle w:val="ListNumber"/>
        <w:numPr>
          <w:ilvl w:val="0"/>
          <w:numId w:val="10"/>
        </w:numPr>
      </w:pPr>
      <w:r>
        <w:t>Get approval for any observation, participant access check, alert test or live change. Agree harmless content, scope, safe stop and recovery with the facility and system roles.</w:t>
      </w:r>
    </w:p>
    <w:p>
      <w:pPr>
        <w:pStyle w:val="ListNumber"/>
        <w:numPr>
          <w:ilvl w:val="0"/>
          <w:numId w:val="10"/>
        </w:numPr>
      </w:pPr>
      <w:r>
        <w:t>Review the actual provider/landlord responsibility boundary. A cloud report, policy statement or completed register does not prove the customer-controlled physical safeguards.</w:t>
      </w:r>
    </w:p>
    <w:p>
      <w:pPr>
        <w:pStyle w:val="Heading1"/>
        <w:pageBreakBefore/>
      </w:pPr>
      <w:r>
        <w:t>Limit physical access to authorized people</w:t>
      </w:r>
    </w:p>
    <w:p>
      <w:r>
        <w:rPr>
          <w:b w:val="0"/>
        </w:rPr>
        <w:t>Supports 3.10.1[a], 3.10.1[b], 3.10.1[c], 3.10.1[d].</w:t>
      </w:r>
    </w:p>
    <w:p>
      <w:r>
        <w:rPr>
          <w:b w:val="0"/>
        </w:rPr>
        <w:t>Protect the places where people can touch a system, remove equipment or see work in progress. Identify who is allowed physical access, then check systems, equipment and their operating environments separately. A Microsoft account or building tenancy does not grant physical authorization.</w:t>
      </w:r>
    </w:p>
    <w:p>
      <w:pPr>
        <w:pStyle w:val="ListNumber"/>
        <w:numPr>
          <w:ilvl w:val="0"/>
          <w:numId w:val="11"/>
        </w:numPr>
      </w:pPr>
      <w:r>
        <w:t>Identify authorized people and areas. Use the approved boundary and facility records to identify systems, equipment, rooms and operating environments. Name the role approving access and keep the actual authorized-person list in restricted storage. Distinguish employees, service personnel, visitors and landlord access. Include local networking, printers and other equipment supporting the CUI system.</w:t>
      </w:r>
    </w:p>
    <w:p>
      <w:pPr>
        <w:pStyle w:val="ListNumber"/>
        <w:numPr>
          <w:ilvl w:val="0"/>
          <w:numId w:val="11"/>
        </w:numPr>
      </w:pPr>
      <w:r>
        <w:t>Apply physical restrictions to the actual scope. Use appropriate controlled entrances, locks, cabinets, equipment placement and accountable keys or badges. Check access to the system itself, associated equipment and the area in which it operates. An unlocked equipment closet inside a controlled building may still allow access beyond the approved list. Coordinate with the facility owner and preserve safe emergency egress.</w:t>
      </w:r>
    </w:p>
    <w:p>
      <w:pPr>
        <w:pStyle w:val="ListNumber"/>
        <w:numPr>
          <w:ilvl w:val="0"/>
          <w:numId w:val="11"/>
        </w:numPr>
      </w:pPr>
      <w:r>
        <w:t>Compare authorization with actual access. Review approved lists against issued devices and actual practices, including changes of role and departure. With authorization, observe an ordinary access/denial check using designated participants; do not attempt entry, tailgating or lock bypass. Record what was observed, what remains unknown and any landlord/provider restrictions on evidence.</w:t>
      </w:r>
    </w:p>
    <w:p>
      <w:pPr>
        <w:pStyle w:val="Heading2"/>
      </w:pPr>
      <w:r>
        <w:t>Verify and record</w:t>
      </w:r>
    </w:p>
    <w:p>
      <w:r>
        <w:rPr>
          <w:b w:val="0"/>
        </w:rPr>
        <w:t>3.10.1[a]  Identify the current approved individuals and their permitted physical areas; verify who approves and updates access.</w:t>
      </w:r>
    </w:p>
    <w:p>
      <w:r>
        <w:rPr>
          <w:b w:val="0"/>
        </w:rPr>
        <w:t>Evidence reference: Restricted authorized-person list, area/system scope, approval and change references.</w:t>
      </w:r>
    </w:p>
    <w:p>
      <w:r>
        <w:rPr>
          <w:b w:val="0"/>
        </w:rPr>
        <w:t>3.10.1[b]  Observe how actual physical access to sampled organizational systems is restricted to the approved people.</w:t>
      </w:r>
    </w:p>
    <w:p>
      <w:r>
        <w:rPr>
          <w:b w:val="0"/>
        </w:rPr>
        <w:t>Evidence reference: System references, effective physical restrictions and authorized observation results.</w:t>
      </w:r>
    </w:p>
    <w:p>
      <w:r>
        <w:rPr>
          <w:b w:val="0"/>
        </w:rPr>
        <w:t>3.10.1[c]  Check physical restrictions on equipment, including relevant network, printer and support equipment.</w:t>
      </w:r>
    </w:p>
    <w:p>
      <w:r>
        <w:rPr>
          <w:b w:val="0"/>
        </w:rPr>
        <w:t>Evidence reference: Equipment/location references, approved access and actual controlled-access checks.</w:t>
      </w:r>
    </w:p>
    <w:p>
      <w:r>
        <w:rPr>
          <w:b w:val="0"/>
        </w:rPr>
        <w:t>3.10.1[d]  Check access to the operating environments where the systems and equipment are used or housed.</w:t>
      </w:r>
    </w:p>
    <w:p>
      <w:r>
        <w:rPr>
          <w:b w:val="0"/>
        </w:rPr>
        <w:t>Evidence reference: Restricted area references, entry arrangements, landlord duties and actual observations.</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If an area or device is accessible beyond authorization, protect the affected equipment and information using an approved temporary arrangement. Notify the responsible facility/system roles, consider the incident route for possible unauthorized access, correct the control and recheck it before restoring the affected use. Do not compromise emergency access or egress.</w:t>
      </w:r>
    </w:p>
    <w:p>
      <w:pPr>
        <w:pStyle w:val="Heading1"/>
        <w:pageBreakBefore/>
      </w:pPr>
      <w:r>
        <w:t>Protect and monitor facilities and support infrastructure</w:t>
      </w:r>
    </w:p>
    <w:p>
      <w:r>
        <w:rPr>
          <w:b w:val="0"/>
        </w:rPr>
        <w:t>Supports 3.10.2[a], 3.10.2[b], 3.10.2[c], 3.10.2[d].</w:t>
      </w:r>
    </w:p>
    <w:p>
      <w:r>
        <w:rPr>
          <w:b w:val="0"/>
        </w:rPr>
        <w:t>A locked office does not show that the wiring closet, power, cooling or other support infrastructure is protected and monitored. Treat protection and monitoring as separate checks for both the facility and the infrastructure supporting the systems.</w:t>
      </w:r>
    </w:p>
    <w:p>
      <w:pPr>
        <w:pStyle w:val="ListNumber"/>
        <w:numPr>
          <w:ilvl w:val="0"/>
          <w:numId w:val="12"/>
        </w:numPr>
      </w:pPr>
      <w:r>
        <w:t>Map facilities and their supporting infrastructure. Identify the facilities and relevant power, communications/cabling, environmental systems and other support dependencies. Record which organization protects and monitors each part, including shared buildings, landlords and service providers. Do not place detailed floor plans, camera locations, alarm codes or home addresses in an ordinary tracker.</w:t>
      </w:r>
    </w:p>
    <w:p>
      <w:pPr>
        <w:pStyle w:val="ListNumber"/>
        <w:numPr>
          <w:ilvl w:val="0"/>
          <w:numId w:val="12"/>
        </w:numPr>
      </w:pPr>
      <w:r>
        <w:t>Verify protection for both parts. Check safeguards appropriate to the environment, such as controlled access, secured utility/network areas, equipment enclosures and protection of relevant power or environmental components. Coordinate with qualified facility staff; do not open electrical panels, disable alarms or interfere with safety systems. A provider brochure does not establish protection at a contractor office.</w:t>
      </w:r>
    </w:p>
    <w:p>
      <w:pPr>
        <w:pStyle w:val="ListNumber"/>
        <w:numPr>
          <w:ilvl w:val="0"/>
          <w:numId w:val="12"/>
        </w:numPr>
      </w:pPr>
      <w:r>
        <w:t>Verify monitoring and the response route. Check the selected monitoring for the facility and support infrastructure separately, responsible responders, coverage limitations and actual review/response records. Monitoring can use suitable staffed observations, access/alarm information or environmental alerts where appropriate; cameras are not the only option. Obtain authorization for any harmless test, preserve safety and record untested alarm paths honestly.</w:t>
      </w:r>
    </w:p>
    <w:p>
      <w:pPr>
        <w:pStyle w:val="Heading2"/>
      </w:pPr>
      <w:r>
        <w:t>Verify and record</w:t>
      </w:r>
    </w:p>
    <w:p>
      <w:r>
        <w:rPr>
          <w:b w:val="0"/>
        </w:rPr>
        <w:t>3.10.2[a]  Check implemented protection at the physical facilities housing the in-scope systems.</w:t>
      </w:r>
    </w:p>
    <w:p>
      <w:r>
        <w:rPr>
          <w:b w:val="0"/>
        </w:rPr>
        <w:t>Evidence reference: Facility responsibility/control references and actual inspection or applicable provider assurance.</w:t>
      </w:r>
    </w:p>
    <w:p>
      <w:r>
        <w:rPr>
          <w:b w:val="0"/>
        </w:rPr>
        <w:t>3.10.2[b]  Check protection of the actual support infrastructure, including relevant shared or landlord-managed parts.</w:t>
      </w:r>
    </w:p>
    <w:p>
      <w:r>
        <w:rPr>
          <w:b w:val="0"/>
        </w:rPr>
        <w:t>Evidence reference: Infrastructure scope, responsible parties, safeguards and observed protection limitations.</w:t>
      </w:r>
    </w:p>
    <w:p>
      <w:r>
        <w:rPr>
          <w:b w:val="0"/>
        </w:rPr>
        <w:t>3.10.2[c]  Check the facility is monitored and that observations or alerts reach responsible people.</w:t>
      </w:r>
    </w:p>
    <w:p>
      <w:r>
        <w:rPr>
          <w:b w:val="0"/>
        </w:rPr>
        <w:t>Evidence reference: Monitoring coverage, response assignments and actual review or approved check records.</w:t>
      </w:r>
    </w:p>
    <w:p>
      <w:r>
        <w:rPr>
          <w:b w:val="0"/>
        </w:rPr>
        <w:t>3.10.2[d]  Check monitoring covers the support infrastructure and has a working escalation route.</w:t>
      </w:r>
    </w:p>
    <w:p>
      <w:r>
        <w:rPr>
          <w:b w:val="0"/>
        </w:rPr>
        <w:t>Evidence reference: Relevant monitoring/alert references, owner/provider duties and actual review or safe test results.</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Use the approved facility and incident procedures if a protection or monitoring gap is discovered. Arrange a safe temporary location or pause the affected use when needed. Involve qualified facilities staff for power/environmental faults, preserve relevant evidence and recheck coverage and escalation after correction. Do not disable safety equipment for a test.</w:t>
      </w:r>
    </w:p>
    <w:p>
      <w:pPr>
        <w:pStyle w:val="Heading1"/>
        <w:pageBreakBefore/>
      </w:pPr>
      <w:r>
        <w:t>Escort visitors and monitor their activity</w:t>
      </w:r>
    </w:p>
    <w:p>
      <w:r>
        <w:rPr>
          <w:b w:val="0"/>
        </w:rPr>
        <w:t>Supports 3.10.3[a], 3.10.3[b].</w:t>
      </w:r>
    </w:p>
    <w:p>
      <w:r>
        <w:rPr>
          <w:b w:val="0"/>
        </w:rPr>
        <w:t>Signing in a visitor does not keep them with an escort or show what they do. Arrange an accountable escort throughout the relevant visit and monitor visitor activity in the protected area, including service and building personnel when treated as visitors under your approved process.</w:t>
      </w:r>
    </w:p>
    <w:p>
      <w:pPr>
        <w:pStyle w:val="ListNumber"/>
        <w:numPr>
          <w:ilvl w:val="0"/>
          <w:numId w:val="13"/>
        </w:numPr>
      </w:pPr>
      <w:r>
        <w:t>Authorize the visit and assign an escort. Confirm the purpose, approved area and responsible host through the established visitor process. Identify an authorized escort and backup, explain permitted activity and protect CUI from viewing. Keep necessary visitor identity/contact details in the approved restricted visitor record, not in the public template or an ordinary action tracker.</w:t>
      </w:r>
    </w:p>
    <w:p>
      <w:pPr>
        <w:pStyle w:val="ListNumber"/>
        <w:numPr>
          <w:ilvl w:val="0"/>
          <w:numId w:val="13"/>
        </w:numPr>
      </w:pPr>
      <w:r>
        <w:t>Maintain escort and monitor activity. Meet the visitor at the controlled point, maintain the approved escort arrangement and observe activity through the visit. Include moves between rooms, service work and any escort handoff. A temporary badge, sign-in entry or camera recording by itself does not establish that the visitor was escorted and monitored. Follow approved privacy and facility arrangements without making assumptions about surveillance permissions.</w:t>
      </w:r>
    </w:p>
    <w:p>
      <w:pPr>
        <w:pStyle w:val="ListNumber"/>
        <w:numPr>
          <w:ilvl w:val="0"/>
          <w:numId w:val="13"/>
        </w:numPr>
      </w:pPr>
      <w:r>
        <w:t>Close the visit and check exceptions. Confirm departure, recover or disable temporary access as appropriate, and record the actual visit/escort and relevant exceptions in restricted storage. Use a fictional walk-through or authorized designated participants to check handoffs. Report an unattended or unexpected visitor through the approved route; do not stage an unannounced intrusion.</w:t>
      </w:r>
    </w:p>
    <w:p>
      <w:pPr>
        <w:pStyle w:val="Heading2"/>
      </w:pPr>
      <w:r>
        <w:t>Verify and record</w:t>
      </w:r>
    </w:p>
    <w:p>
      <w:r>
        <w:rPr>
          <w:b w:val="0"/>
        </w:rPr>
        <w:t>3.10.3[a]  Observe whether visitor escort arrangements operate through arrival, movement, handoffs and departure.</w:t>
      </w:r>
    </w:p>
    <w:p>
      <w:r>
        <w:rPr>
          <w:b w:val="0"/>
        </w:rPr>
        <w:t>Evidence reference: Visitor procedure, designated escort and restricted actual visit/observation references.</w:t>
      </w:r>
    </w:p>
    <w:p>
      <w:r>
        <w:rPr>
          <w:b w:val="0"/>
        </w:rPr>
        <w:t>3.10.3[b]  Check visitor activity is monitored during the relevant visit and exceptions are handled.</w:t>
      </w:r>
    </w:p>
    <w:p>
      <w:r>
        <w:rPr>
          <w:b w:val="0"/>
        </w:rPr>
        <w:t>Evidence reference: Monitoring responsibilities, actual observations and exception/escalation records.</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When an escort is unavailable or lost, stop the affected visit and move to the approved safe waiting/exit process. Protect exposed information and notify the responsible host/security role. Handle possible disclosure or unauthorized entry through Incident Response and verify the escort/monitoring correction before continuing.</w:t>
      </w:r>
    </w:p>
    <w:p>
      <w:pPr>
        <w:pStyle w:val="Heading1"/>
        <w:pageBreakBefore/>
      </w:pPr>
      <w:r>
        <w:t>Maintain physical access audit logs</w:t>
      </w:r>
    </w:p>
    <w:p>
      <w:r>
        <w:rPr>
          <w:b w:val="0"/>
        </w:rPr>
        <w:t>Supports 3.10.4.</w:t>
      </w:r>
    </w:p>
    <w:p>
      <w:r>
        <w:rPr>
          <w:b w:val="0"/>
        </w:rPr>
        <w:t>Keep usable records of physical access to the protected scope. A Windows sign-in or cloud audit event records a different event from someone entering a room, opening a cabinet or visiting a facility.</w:t>
      </w:r>
    </w:p>
    <w:p>
      <w:pPr>
        <w:pStyle w:val="ListNumber"/>
        <w:numPr>
          <w:ilvl w:val="0"/>
          <w:numId w:val="14"/>
        </w:numPr>
      </w:pPr>
      <w:r>
        <w:t>Define the physical events and record method. Identify the relevant entry points, areas and physical access events, including the arrangements for keys/manual logs and provider-held records. Select an appropriate physical access log method and define the fields, responsible role, review approach, access protection and organization-approved retention/disposal. This guide does not prescribe a universal retention period.</w:t>
      </w:r>
    </w:p>
    <w:p>
      <w:pPr>
        <w:pStyle w:val="ListNumber"/>
        <w:numPr>
          <w:ilvl w:val="0"/>
          <w:numId w:val="14"/>
        </w:numPr>
      </w:pPr>
      <w:r>
        <w:t>Maintain protected and retrievable records. Keep actual physical access records under the approved process, with enough context to understand who or what access reference, location reference and time/event occurred. Protect against unauthorized access or alteration and check that provider/landlord records can be obtained when needed. Keep personal visitor details, badge identifiers and detailed entry history in restricted evidence storage.</w:t>
      </w:r>
    </w:p>
    <w:p>
      <w:pPr>
        <w:pStyle w:val="ListNumber"/>
        <w:numPr>
          <w:ilvl w:val="0"/>
          <w:numId w:val="14"/>
        </w:numPr>
      </w:pPr>
      <w:r>
        <w:t>Trace a permitted sample to the actual log. Use an authorized known physical event to check that the expected record exists, is intelligible and can be retrieved by the responsible role. Document logging outages, missing records or clock/context problems. Review required retention and any evidence hold before disposal. Do not create an invented entry to fill a missing historical record.</w:t>
      </w:r>
    </w:p>
    <w:p>
      <w:pPr>
        <w:pStyle w:val="Heading2"/>
      </w:pPr>
      <w:r>
        <w:t>Verify and record</w:t>
      </w:r>
    </w:p>
    <w:p>
      <w:r>
        <w:rPr>
          <w:b w:val="0"/>
        </w:rPr>
        <w:t>3.10.4  Trace representative actual physical access events to maintained, protected and retrievable physical access audit logs, including relevant manual/provider arrangements.</w:t>
      </w:r>
    </w:p>
    <w:p>
      <w:r>
        <w:rPr>
          <w:b w:val="0"/>
        </w:rPr>
        <w:t>Evidence reference: Approved physical-log scope/method, restricted samples, retrieval/review and missing-record actions.</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For missing or unavailable logs, preserve the records that exist, notify the responsible role and use an approved temporary recording method. Investigate the loss and possible unauthorized access, restore collection/retrieval and record the period and scope that remain unverifiable. Do not backfill events as if they had been recorded at the time.</w:t>
      </w:r>
    </w:p>
    <w:p>
      <w:pPr>
        <w:pStyle w:val="Heading1"/>
        <w:pageBreakBefore/>
      </w:pPr>
      <w:r>
        <w:t>Identify control and manage physical access devices</w:t>
      </w:r>
    </w:p>
    <w:p>
      <w:r>
        <w:rPr>
          <w:b w:val="0"/>
        </w:rPr>
        <w:t>Supports 3.10.5[a], 3.10.5[b], 3.10.5[c].</w:t>
      </w:r>
    </w:p>
    <w:p>
      <w:r>
        <w:rPr>
          <w:b w:val="0"/>
        </w:rPr>
        <w:t>Know which keys, badges, tokens, combinations or other physical access devices exist, who controls them and how their access changes. A list without issuance, return and change procedures leaves access devices unmanaged.</w:t>
      </w:r>
    </w:p>
    <w:p>
      <w:pPr>
        <w:pStyle w:val="ListNumber"/>
        <w:numPr>
          <w:ilvl w:val="0"/>
          <w:numId w:val="15"/>
        </w:numPr>
      </w:pPr>
      <w:r>
        <w:t>Identify devices and accountable owners. Inventory physical access devices and the areas/equipment they open, including spares, temporary devices and devices held by landlords or providers where relevant. Use restricted identifiers and custody references in the tracker. Keep actual combinations, key-cutting details, badge values and sensitive access mappings in protected storage.</w:t>
      </w:r>
    </w:p>
    <w:p>
      <w:pPr>
        <w:pStyle w:val="ListNumber"/>
        <w:numPr>
          <w:ilvl w:val="0"/>
          <w:numId w:val="15"/>
        </w:numPr>
      </w:pPr>
      <w:r>
        <w:t>Control issue use storage and return. Authorize device issue to the approved person and scope, record custody, secure spares and control duplication or sharing under the approved rules. Check return/deactivation when access is no longer required. Physical access may need a separate action from disabling an AD DS or Entra account; confirm any actual badge-system integration instead of assuming it.</w:t>
      </w:r>
    </w:p>
    <w:p>
      <w:pPr>
        <w:pStyle w:val="ListNumber"/>
        <w:numPr>
          <w:ilvl w:val="0"/>
          <w:numId w:val="15"/>
        </w:numPr>
      </w:pPr>
      <w:r>
        <w:t>Manage loss changes and periodic review. Set organization-approved review and change triggers, including loss, compromise, transfer, termination and changed area permissions. Determine authorized deactivation, reissue, combination change or lock work for the affected device and dependencies. Coordinate with qualified facility staff and emergency arrangements, then verify the actual result and reconcile the inventory.</w:t>
      </w:r>
    </w:p>
    <w:p>
      <w:pPr>
        <w:pStyle w:val="Heading2"/>
      </w:pPr>
      <w:r>
        <w:t>Verify and record</w:t>
      </w:r>
    </w:p>
    <w:p>
      <w:r>
        <w:rPr>
          <w:b w:val="0"/>
        </w:rPr>
        <w:t>3.10.5[a]  Compare the physical access-device inventory with actual keys, badges, combinations and other devices in scope.</w:t>
      </w:r>
    </w:p>
    <w:p>
      <w:r>
        <w:rPr>
          <w:b w:val="0"/>
        </w:rPr>
        <w:t>Evidence reference: Restricted inventory, device/area references, responsible owner and reconciliation observations.</w:t>
      </w:r>
    </w:p>
    <w:p>
      <w:r>
        <w:rPr>
          <w:b w:val="0"/>
        </w:rPr>
        <w:t>3.10.5[b]  Check device issue, custody, storage, duplication/sharing restrictions and return are controlled.</w:t>
      </w:r>
    </w:p>
    <w:p>
      <w:r>
        <w:rPr>
          <w:b w:val="0"/>
        </w:rPr>
        <w:t>Evidence reference: Approved issuance and custody records, spare-device controls and return/deactivation evidence.</w:t>
      </w:r>
    </w:p>
    <w:p>
      <w:r>
        <w:rPr>
          <w:b w:val="0"/>
        </w:rPr>
        <w:t>3.10.5[c]  Trace loss, role/departure and access-change handling to actual device changes and inventory updates.</w:t>
      </w:r>
    </w:p>
    <w:p>
      <w:r>
        <w:rPr>
          <w:b w:val="0"/>
        </w:rPr>
        <w:t>Evidence reference: Defined review/change triggers, authorized change records and actual verification of the outcome.</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For a lost, unreturned or compromised access device, invoke the approved facility process promptly and protect the affected area. Decide the scope of deactivation, rekeying or combination changes with authorized staff, preserve relevant records and verify the result. Disabling a Microsoft identity alone does not prove that a physical key or badge stopped working.</w:t>
      </w:r>
    </w:p>
    <w:p>
      <w:pPr>
        <w:pStyle w:val="Heading1"/>
        <w:pageBreakBefore/>
      </w:pPr>
      <w:r>
        <w:t>Enforce safeguards at alternate work sites</w:t>
      </w:r>
    </w:p>
    <w:p>
      <w:r>
        <w:rPr>
          <w:b w:val="0"/>
        </w:rPr>
        <w:t>Supports 3.10.6[a], 3.10.6[b].</w:t>
      </w:r>
    </w:p>
    <w:p>
      <w:r>
        <w:rPr>
          <w:b w:val="0"/>
        </w:rPr>
        <w:t>Define and apply physical safeguards when CUI work occurs at a home office, temporary site or another approved location. AVD, MFA and a managed laptop do not protect a room from household members, other occupants or people who can see the screen or reach papers.</w:t>
      </w:r>
    </w:p>
    <w:p>
      <w:pPr>
        <w:pStyle w:val="ListNumber"/>
        <w:numPr>
          <w:ilvl w:val="0"/>
          <w:numId w:val="16"/>
        </w:numPr>
      </w:pPr>
      <w:r>
        <w:t>Define approved sites and safeguards. Identify permitted alternate work arrangements and the approving role. Define measures appropriate to the CUI and site, including authorized people, controlled work/storage areas, screen/paper visibility, secure equipment and end-of-work handling. Define whether printing or local storage is permitted and what to do when a site cannot meet the safeguards. Use restricted site references rather than home addresses or photographs in ordinary records.</w:t>
      </w:r>
    </w:p>
    <w:p>
      <w:pPr>
        <w:pStyle w:val="ListNumber"/>
        <w:numPr>
          <w:ilvl w:val="0"/>
          <w:numId w:val="16"/>
        </w:numPr>
      </w:pPr>
      <w:r>
        <w:t>Put the safeguards into operation. Confirm the person understands and can apply the approved physical arrangements before affected CUI work. Coordinate endpoint/session controls with the physical controls; protect the local endpoint, printed output and unattended equipment even when the workload runs in the cloud. Household membership, coworking membership or a VPN connection does not authorize access to CUI.</w:t>
      </w:r>
    </w:p>
    <w:p>
      <w:pPr>
        <w:pStyle w:val="ListNumber"/>
        <w:numPr>
          <w:ilvl w:val="0"/>
          <w:numId w:val="16"/>
        </w:numPr>
      </w:pPr>
      <w:r>
        <w:t>Verify enforcement without collecting private details. Use an approved, proportionate review with restricted evidence references and authorized harmless checks. Verify actual implementation rather than treating a signed policy as sufficient. Review when the location or conditions change. Do not request personal home layouts or visitor details through this website, run unapproved surveillance or perform a surprise home inspection.</w:t>
      </w:r>
    </w:p>
    <w:p>
      <w:pPr>
        <w:pStyle w:val="Heading2"/>
      </w:pPr>
      <w:r>
        <w:t>Verify and record</w:t>
      </w:r>
    </w:p>
    <w:p>
      <w:r>
        <w:rPr>
          <w:b w:val="0"/>
        </w:rPr>
        <w:t>3.10.6[a]  Check that alternate-site CUI safeguarding measures and approval/stop conditions are defined for the actual work arrangements.</w:t>
      </w:r>
    </w:p>
    <w:p>
      <w:r>
        <w:rPr>
          <w:b w:val="0"/>
        </w:rPr>
        <w:t>Evidence reference: Approved alternate-site procedure, required safeguards, scope/approval and restricted site references.</w:t>
      </w:r>
    </w:p>
    <w:p>
      <w:r>
        <w:rPr>
          <w:b w:val="0"/>
        </w:rPr>
        <w:t>3.10.6[b]  Check those safeguards are applied at actual approved alternate sites, including local equipment, visibility, storage and permitted output.</w:t>
      </w:r>
    </w:p>
    <w:p>
      <w:r>
        <w:rPr>
          <w:b w:val="0"/>
        </w:rPr>
        <w:t>Evidence reference: Authorized implementation review, actual harmless check results, changes and unresolved limitations.</w:t>
      </w:r>
    </w:p>
    <w:p>
      <w:r>
        <w:rPr>
          <w:b/>
        </w:rPr>
        <w:t xml:space="preserve">Actual observation  </w:t>
      </w:r>
      <w:r>
        <w:t>[REPLACE date approved check performed result restricted evidence reference and limits]</w:t>
      </w:r>
    </w:p>
    <w:p>
      <w:r>
        <w:rPr>
          <w:b/>
        </w:rPr>
        <w:t xml:space="preserve">Unresolved action  </w:t>
      </w:r>
      <w:r>
        <w:t>[REPLACE finding owner due date authorized next action and planned verification]</w:t>
      </w:r>
    </w:p>
    <w:p>
      <w:pPr>
        <w:pStyle w:val="Heading2"/>
      </w:pPr>
      <w:r>
        <w:t>If the check fails</w:t>
      </w:r>
    </w:p>
    <w:p>
      <w:r>
        <w:rPr>
          <w:b w:val="0"/>
        </w:rPr>
        <w:t>If the site cannot provide the approved safeguards, pause the affected CUI activity and use an approved alternative location or method. Protect equipment and records, report possible exposure through the incident route and verify the safeguards before resuming. Do not approve the site only because cloud authentication succeeds.</w:t>
      </w:r>
    </w:p>
    <w:p>
      <w:pPr>
        <w:pStyle w:val="Heading1"/>
        <w:pageBreakBefore/>
      </w:pPr>
      <w:r>
        <w:t>Coordinate Microsoft controls and close the action</w:t>
      </w:r>
    </w:p>
    <w:p>
      <w:pPr>
        <w:pStyle w:val="ListNumber"/>
        <w:numPr>
          <w:ilvl w:val="0"/>
          <w:numId w:val="17"/>
        </w:numPr>
      </w:pPr>
      <w:r>
        <w:t>Identify the actual commercial or government cloud/service, AD DS only hybrid or Entra join, Windows edition, management authority and AVD client/session host. Check source-supported policy availability and licenses first.</w:t>
      </w:r>
    </w:p>
    <w:p>
      <w:pPr>
        <w:pStyle w:val="ListNumber"/>
        <w:numPr>
          <w:ilvl w:val="0"/>
          <w:numId w:val="17"/>
        </w:numPr>
      </w:pPr>
      <w:r>
        <w:t>Treat Windows/GPO or eligible Intune inactivity controls and AVD session locks as supporting technical measures. Review prerequisites, units, assignments, conflicts and restart/user impact. Authorize a scoped harmless check and agreed recovery before changing live policy.</w:t>
      </w:r>
    </w:p>
    <w:p>
      <w:pPr>
        <w:pStyle w:val="ListNumber"/>
        <w:numPr>
          <w:ilvl w:val="0"/>
          <w:numId w:val="17"/>
        </w:numPr>
      </w:pPr>
      <w:r>
        <w:t>If a technical check fails, protect the endpoint using approved temporary handling, repair the scoped control and record the actual recheck. Keep physical area, visitor, storage and alternate-site safeguards in operation throughout.</w:t>
      </w:r>
    </w:p>
    <w:p>
      <w:pPr>
        <w:pStyle w:val="ListNumber"/>
        <w:numPr>
          <w:ilvl w:val="0"/>
          <w:numId w:val="17"/>
        </w:numPr>
      </w:pPr>
      <w:r>
        <w:t>Reconcile actual access changes with the authorized-person and device records, preserve relevant physical access evidence, and verify corrective outcomes before closing an action. Keep unperformed checks and irretrievable records explicit.</w:t>
      </w:r>
    </w:p>
    <w:p>
      <w:r>
        <w:rPr>
          <w:b/>
        </w:rPr>
        <w:t xml:space="preserve">Microsoft check reference  </w:t>
      </w:r>
      <w:r>
        <w:t>[REPLACE actual management path entitlement approved change harmless observed behavior and recovery result]</w:t>
      </w:r>
    </w:p>
    <w:p>
      <w:r>
        <w:rPr>
          <w:b/>
        </w:rPr>
        <w:t xml:space="preserve">Closure review  </w:t>
      </w:r>
      <w:r>
        <w:t>[REPLACE reviewer actual evidence remaining limits date and actions still open]</w:t>
      </w:r>
    </w:p>
    <w:p>
      <w:pPr>
        <w:pStyle w:val="Heading2"/>
      </w:pPr>
      <w:r>
        <w:t>Sources and related materials</w:t>
      </w:r>
    </w:p>
    <w:p>
      <w:r>
        <w:rPr>
          <w:b w:val="0"/>
        </w:rPr>
        <w:t>Official baseline: NIST SP 800-171 Revision 2. Assessment objectives: NIST SP 800-171A June 2018, section 3.10. These aids preserve the CMMC Level 2 Revision 2 baseline.</w:t>
      </w:r>
    </w:p>
    <w:p>
      <w:r>
        <w:rPr>
          <w:b w:val="0"/>
        </w:rPr>
        <w:t>https://nvlpubs.nist.gov/nistpubs/SpecialPublications/NIST.SP.800-171A.pdf</w:t>
      </w:r>
    </w:p>
    <w:p>
      <w:r>
        <w:rPr>
          <w:b w:val="0"/>
        </w:rPr>
        <w:t>Requirement and discussion source: https://nvlpubs.nist.gov/nistpubs/SpecialPublications/NIST.SP.800-171r2.pdf</w:t>
      </w:r>
    </w:p>
    <w:p>
      <w:r>
        <w:rPr>
          <w:b w:val="0"/>
        </w:rPr>
        <w:t>Microsoft setup paths, product limits and supporting sources:</w:t>
      </w:r>
    </w:p>
    <w:p>
      <w:r>
        <w:rPr>
          <w:b w:val="0"/>
        </w:rPr>
        <w:t>https://purposefulsecurity.com/cmmc-microsoft-implementation/physical-protection</w:t>
      </w:r>
    </w:p>
    <w:p>
      <w:r>
        <w:rPr>
          <w:b w:val="0"/>
        </w:rPr>
        <w:t>Microsoft guidance was reviewed October 28 2026. Tenant actions have not been tested. Provider evidence supports only actual inherited responsibilities; the contractor facility, equipment and alternate work sites need their own safeguards. No universal log-retention period or surveillance permission is supplied.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2" w:lineRule="auto" w:after="10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60" w:after="10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2" w:lineRule="auto" w:after="10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2" w:lineRule="auto" w:after="10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Protection procedure</dc:title>
  <dc:subject>CMMC Physical Protection working aid</dc:subject>
  <dc:creator>Purposeful Security</dc:creator>
  <cp:keywords>Purposeful Security; CMMC; Physical Protection</cp:keywords>
  <dc:description/>
  <cp:lastModifiedBy>Purposeful Security</cp:lastModifiedBy>
  <cp:revision>1</cp:revision>
  <dcterms:created xsi:type="dcterms:W3CDTF">2026-10-28T00:00:00Z</dcterms:created>
  <dcterms:modified xsi:type="dcterms:W3CDTF">2026-10-28T00:00:00Z</dcterms:modified>
  <cp:category/>
</cp:coreProperties>
</file>