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Maintenance work procedure</w:t>
      </w:r>
    </w:p>
    <w:p>
      <w:r>
        <w:rPr>
          <w:b w:val="0"/>
        </w:rPr>
        <w:t>Adapt this procedure for approved maintenance before, during and after the job. It covers tools, personnel, diagnostic media, off-site equipment, external access, supervision and return to service. Actual responsibilities and supported methods must be confirmed for the system.</w:t>
      </w:r>
    </w:p>
    <w:p>
      <w:r>
        <w:rPr>
          <w:b/>
        </w:rPr>
        <w:t>Editable working aid for CMMC Level 2 Maintenance 3.7.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Procedure ownership</w:t>
      </w:r>
    </w:p>
    <w:p>
      <w:r>
        <w:rPr>
          <w:b/>
        </w:rPr>
        <w:t xml:space="preserve">Owner and backup  </w:t>
      </w:r>
      <w:r>
        <w:t>[REPLACE responsible system maintenance and verification roles]</w:t>
      </w:r>
    </w:p>
    <w:p>
      <w:r>
        <w:rPr>
          <w:b/>
        </w:rPr>
        <w:t xml:space="preserve">Approval and scope  </w:t>
      </w:r>
      <w:r>
        <w:t>[REPLACE approver effective version date systems providers and applicable obligations]</w:t>
      </w:r>
    </w:p>
    <w:p>
      <w:r>
        <w:rPr>
          <w:b/>
        </w:rPr>
        <w:t xml:space="preserve">Restricted records  </w:t>
      </w:r>
      <w:r>
        <w:t>[REPLACE activity register tool/media register change recovery and evidence references]</w:t>
      </w:r>
    </w:p>
    <w:p>
      <w:r>
        <w:rPr>
          <w:b/>
        </w:rPr>
        <w:t xml:space="preserve">Stop and escalation  </w:t>
      </w:r>
      <w:r>
        <w:t>[REPLACE failed scan sanitization missing supervision access or verification and incident/recovery contacts]</w:t>
      </w:r>
    </w:p>
    <w:p>
      <w:r>
        <w:rPr>
          <w:b/>
        </w:rPr>
        <w:t>Keep completed material in your approved environment. Keep CUI, credentials, detailed system/personnel records, logs and evidence in protected approved storage. Use restricted references in ordinary trackers. Do not email records, diagnostic files or completed worksheets to this website. No real erasure, unknown media, access change or session termination is part of a discussion exercise.</w:t>
      </w:r>
    </w:p>
    <w:p>
      <w:pPr>
        <w:pStyle w:val="Heading2"/>
      </w:pPr>
      <w:r>
        <w:t>Authorize and prepare</w:t>
      </w:r>
    </w:p>
    <w:p>
      <w:pPr>
        <w:pStyle w:val="ListNumber"/>
        <w:numPr>
          <w:ilvl w:val="0"/>
          <w:numId w:val="10"/>
        </w:numPr>
      </w:pPr>
      <w:r>
        <w:t>Identify the system, task, data, dependencies and actual need. Link planned/corrective work to inventory, vendor support and change records.</w:t>
      </w:r>
    </w:p>
    <w:p>
      <w:pPr>
        <w:pStyle w:val="ListNumber"/>
        <w:numPr>
          <w:ilvl w:val="0"/>
          <w:numId w:val="10"/>
        </w:numPr>
      </w:pPr>
      <w:r>
        <w:t>Verify the technician through the established route. Compare required and held authorization, assign rights/scope/duration and arrange an appropriately authorized capable supervisor where required.</w:t>
      </w:r>
    </w:p>
    <w:p>
      <w:pPr>
        <w:pStyle w:val="ListNumber"/>
        <w:numPr>
          <w:ilvl w:val="0"/>
          <w:numId w:val="10"/>
        </w:numPr>
      </w:pPr>
      <w:r>
        <w:t>Approve the tool source/version, technique and access mechanism. Agree downtime, backup/recovery, expected effects and return-to-service checks. Do not treat a vendor work order as unrestricted authorization.</w:t>
      </w:r>
    </w:p>
    <w:p>
      <w:r>
        <w:br w:type="page"/>
      </w:r>
    </w:p>
    <w:p>
      <w:pPr>
        <w:pStyle w:val="Heading1"/>
      </w:pPr>
      <w:r>
        <w:t>Check media and off site equipment</w:t>
      </w:r>
    </w:p>
    <w:p>
      <w:pPr>
        <w:pStyle w:val="ListNumber"/>
        <w:numPr>
          <w:ilvl w:val="0"/>
          <w:numId w:val="11"/>
        </w:numPr>
      </w:pPr>
      <w:r>
        <w:t>For diagnostic/test media, use the approved inspection route before CUI-system use. Check the programs/media source and scope. Do not use a CUI device as the first inspection point for unknown media.</w:t>
      </w:r>
    </w:p>
    <w:p>
      <w:pPr>
        <w:pStyle w:val="ListNumber"/>
        <w:numPr>
          <w:ilvl w:val="0"/>
          <w:numId w:val="11"/>
        </w:numPr>
      </w:pPr>
      <w:r>
        <w:t>Perform the required malicious-code check with supported active protection in the approved environment. Record actual time, scanner/protection context, scope, result and inaccessible/skipped content or exclusions. Do not execute unknown programs or weaken protection to test them.</w:t>
      </w:r>
    </w:p>
    <w:p>
      <w:pPr>
        <w:pStyle w:val="ListNumber"/>
        <w:numPr>
          <w:ilvl w:val="0"/>
          <w:numId w:val="11"/>
        </w:numPr>
      </w:pPr>
      <w:r>
        <w:t>Block use if the required check fails or is incomplete. Keep media controlled and use the incident/handling route for a detection or prior exposure. A clean scan does not itself approve a tool or technique.</w:t>
      </w:r>
    </w:p>
    <w:p>
      <w:pPr>
        <w:pStyle w:val="ListNumber"/>
        <w:numPr>
          <w:ilvl w:val="0"/>
          <w:numId w:val="11"/>
        </w:numPr>
      </w:pPr>
      <w:r>
        <w:t>For off-site repair, identify all CUI-bearing components. Review backup/recovery and any preservation hold before approved sanitization. Select a supported method appropriate to the actual medium and obligations.</w:t>
      </w:r>
    </w:p>
    <w:p>
      <w:pPr>
        <w:pStyle w:val="ListNumber"/>
        <w:numPr>
          <w:ilvl w:val="0"/>
          <w:numId w:val="11"/>
        </w:numPr>
      </w:pPr>
      <w:r>
        <w:t>Retain execution and verification/validation results and approval before release. If sanitization fails or cannot be verified, keep equipment controlled and arrange an approved alternative. Verify the equipment actually leaving has no remaining CUI.</w:t>
      </w:r>
    </w:p>
    <w:p>
      <w:r>
        <w:rPr>
          <w:b/>
        </w:rPr>
        <w:t xml:space="preserve">Media check record  </w:t>
      </w:r>
      <w:r>
        <w:t>[REPLACE media/program reference approved inspection system source scope time scanner context result and use decision]</w:t>
      </w:r>
    </w:p>
    <w:p>
      <w:r>
        <w:rPr>
          <w:b/>
        </w:rPr>
        <w:t xml:space="preserve">Off site release record  </w:t>
      </w:r>
      <w:r>
        <w:t>[REPLACE equipment/storage references data review method authority actual execution verification/validation result and custody]</w:t>
      </w:r>
    </w:p>
    <w:p>
      <w:r>
        <w:rPr>
          <w:b/>
        </w:rPr>
        <w:t xml:space="preserve">Unresolved condition  </w:t>
      </w:r>
      <w:r>
        <w:t>[REPLACE failed or skipped content damaged media missing verification blocked use/release owner and next action]</w:t>
      </w:r>
    </w:p>
    <w:p>
      <w:r>
        <w:rPr>
          <w:b w:val="0"/>
        </w:rPr>
        <w:t>Do not use file deletion, a quick format, an encryption status or a warranty promise as sanitization evidence. Do not upload CUI or confidential diagnostic files to public scanning services. No live scan of unknown media or real erasure is part of this template exercise.</w:t>
      </w:r>
    </w:p>
    <w:p>
      <w:r>
        <w:br w:type="page"/>
      </w:r>
    </w:p>
    <w:p>
      <w:pPr>
        <w:pStyle w:val="Heading1"/>
      </w:pPr>
      <w:r>
        <w:t>Control the maintenance activity</w:t>
      </w:r>
    </w:p>
    <w:p>
      <w:pPr>
        <w:pStyle w:val="ListNumber"/>
        <w:numPr>
          <w:ilvl w:val="0"/>
          <w:numId w:val="12"/>
        </w:numPr>
      </w:pPr>
      <w:r>
        <w:t>Before establishing applicable nonlocal maintenance through external networks, verify supported MFA enforcement and the actual authentication result. Include the full tool/gateway/host path and allowed fallback. Registration and report-only policy are not enforcement.</w:t>
      </w:r>
    </w:p>
    <w:p>
      <w:pPr>
        <w:pStyle w:val="ListNumber"/>
        <w:numPr>
          <w:ilvl w:val="0"/>
          <w:numId w:val="12"/>
        </w:numPr>
      </w:pPr>
      <w:r>
        <w:t>Use approved identities, least necessary access and a bounded work scope. Maintain required supervision and control what the technician can see/do. Supervision does not authorize disclosure of CUI.</w:t>
      </w:r>
    </w:p>
    <w:p>
      <w:pPr>
        <w:pStyle w:val="ListNumber"/>
        <w:numPr>
          <w:ilvl w:val="0"/>
          <w:numId w:val="12"/>
        </w:numPr>
      </w:pPr>
      <w:r>
        <w:t>On AVD, coordinate users and capacity. Drain mode blocks new brokered sessions but leaves existing sessions and direct administrative access possible. Confirm session state and dependencies before work.</w:t>
      </w:r>
    </w:p>
    <w:p>
      <w:pPr>
        <w:pStyle w:val="ListNumber"/>
        <w:numPr>
          <w:ilvl w:val="0"/>
          <w:numId w:val="12"/>
        </w:numPr>
      </w:pPr>
      <w:r>
        <w:t>Record actual work, time/time zone, tool/parts references, approved changes, deviations and results. Pause on unexpected scope, missing supervision or unsafe conditions and escalate.</w:t>
      </w:r>
    </w:p>
    <w:p>
      <w:pPr>
        <w:pStyle w:val="ListNumber"/>
        <w:numPr>
          <w:ilvl w:val="0"/>
          <w:numId w:val="12"/>
        </w:numPr>
      </w:pPr>
      <w:r>
        <w:t>If work fails, use the approved supported recovery route and recheck service/security. Follow Incident Response for suspicious tools, unauthorized access or possible data exposure.</w:t>
      </w:r>
    </w:p>
    <w:p>
      <w:r>
        <w:rPr>
          <w:b/>
        </w:rPr>
        <w:t xml:space="preserve">Authentication and access  </w:t>
      </w:r>
      <w:r>
        <w:t>[REPLACE actual route identity authority enforcement/result reference permissions cloud and licensed feature limits]</w:t>
      </w:r>
    </w:p>
    <w:p>
      <w:r>
        <w:rPr>
          <w:b/>
        </w:rPr>
        <w:t xml:space="preserve">Supervision  </w:t>
      </w:r>
      <w:r>
        <w:t>[REPLACE technician required/held authorization supervisor scope actual period observations intervention or handover]</w:t>
      </w:r>
    </w:p>
    <w:p>
      <w:r>
        <w:rPr>
          <w:b/>
        </w:rPr>
        <w:t xml:space="preserve">Work record  </w:t>
      </w:r>
      <w:r>
        <w:t>[REPLACE activity ID actual start/end time timezone actions references deviations and recovery]</w:t>
      </w:r>
    </w:p>
    <w:p>
      <w:r>
        <w:br w:type="page"/>
      </w:r>
    </w:p>
    <w:p>
      <w:pPr>
        <w:pStyle w:val="Heading1"/>
      </w:pPr>
      <w:r>
        <w:t>Verify closure and return to service</w:t>
      </w:r>
    </w:p>
    <w:p>
      <w:pPr>
        <w:pStyle w:val="ListNumber"/>
        <w:numPr>
          <w:ilvl w:val="0"/>
          <w:numId w:val="13"/>
        </w:numPr>
      </w:pPr>
      <w:r>
        <w:t>Confirm the maintenance work is complete and use the supported end-session/connection procedure. Check the actual result on relevant services and hosts; a closed client window may leave a disconnected session.</w:t>
      </w:r>
    </w:p>
    <w:p>
      <w:pPr>
        <w:pStyle w:val="ListNumber"/>
        <w:numPr>
          <w:ilvl w:val="0"/>
          <w:numId w:val="13"/>
        </w:numPr>
      </w:pPr>
      <w:r>
        <w:t>Remove temporary access as approved. Review retained agents against permitted future access, authentication and logging rather than assuming installation proves approval or that every agent must be removed.</w:t>
      </w:r>
    </w:p>
    <w:p>
      <w:pPr>
        <w:pStyle w:val="ListNumber"/>
        <w:numPr>
          <w:ilvl w:val="0"/>
          <w:numId w:val="13"/>
        </w:numPr>
      </w:pPr>
      <w:r>
        <w:t>Perform the agreed service, security, access and data/profile checks. Restore normal availability only under the approved acceptance decision. Record actual results and the approver.</w:t>
      </w:r>
    </w:p>
    <w:p>
      <w:pPr>
        <w:pStyle w:val="ListNumber"/>
        <w:numPr>
          <w:ilvl w:val="0"/>
          <w:numId w:val="13"/>
        </w:numPr>
      </w:pPr>
      <w:r>
        <w:t>Keep failed, incomplete and unperformed checks open with an owner and next action. A Ready for record review row is not successful work, equipment release, a terminated connection or a compliance finding.</w:t>
      </w:r>
    </w:p>
    <w:p>
      <w:pPr>
        <w:pStyle w:val="ListNumber"/>
        <w:numPr>
          <w:ilvl w:val="0"/>
          <w:numId w:val="13"/>
        </w:numPr>
      </w:pPr>
      <w:r>
        <w:t>Review representative records for tool, technique, mechanism, personnel, media, remote-session and supervision controls. Correct missing coverage and plan an authorized check. Do not backfill invented observations.</w:t>
      </w:r>
    </w:p>
    <w:p>
      <w:r>
        <w:rPr>
          <w:b/>
        </w:rPr>
        <w:t xml:space="preserve">Termination evidence  </w:t>
      </w:r>
      <w:r>
        <w:t>[REPLACE work completion actual connection/session closure time status and remaining access]</w:t>
      </w:r>
    </w:p>
    <w:p>
      <w:r>
        <w:rPr>
          <w:b/>
        </w:rPr>
        <w:t xml:space="preserve">Acceptance and recovery  </w:t>
      </w:r>
      <w:r>
        <w:t>[REPLACE expected versus observed service/security checks approver recovery result and remaining issues]</w:t>
      </w:r>
    </w:p>
    <w:p>
      <w:r>
        <w:rPr>
          <w:b/>
        </w:rPr>
        <w:t xml:space="preserve">Follow up  </w:t>
      </w:r>
      <w:r>
        <w:t>[REPLACE gap owner due date safe verification and restricted evidence reference]</w:t>
      </w:r>
    </w:p>
    <w:p>
      <w:pPr>
        <w:pStyle w:val="Heading2"/>
      </w:pPr>
      <w:r>
        <w:t>Sources and related materials</w:t>
      </w:r>
    </w:p>
    <w:p>
      <w:r>
        <w:rPr>
          <w:b w:val="0"/>
        </w:rPr>
        <w:t>Official baseline: NIST SP 800-171 Revision 2. Assessment objectives: NIST SP 800-171A June 2018, section 3.7.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https://purposefulsecurity.com/cmmc-microsoft-implementation/maintenance</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work procedure</dc:title>
  <dc:subject>CMMC Maintenance working aid</dc:subject>
  <dc:creator/>
  <cp:keywords>Purposeful Security; CMMC; Maintenance</cp:keywords>
  <dc:description/>
  <cp:lastModifiedBy/>
  <cp:revision>1</cp:revision>
  <dcterms:created xsi:type="dcterms:W3CDTF">2026-10-27T00:00:00Z</dcterms:created>
  <dcterms:modified xsi:type="dcterms:W3CDTF">2026-10-27T00:00:00Z</dcterms:modified>
  <cp:category/>
</cp:coreProperties>
</file>