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Incident reporting and evidence procedure</w:t>
      </w:r>
    </w:p>
    <w:p>
      <w:r>
        <w:rPr>
          <w:b w:val="0"/>
        </w:rPr>
        <w:t>Use this procedure to maintain restricted incident records, decide and carry out required notifications and protect evidence while responders limit harm and restore service. The responsible contract and legal personnel must confirm the actual duties and timing. This is an editable procedure, not a report submission service.</w:t>
      </w:r>
    </w:p>
    <w:p>
      <w:r>
        <w:rPr>
          <w:b/>
        </w:rPr>
        <w:t>Editable working aid for CMMC Level 2 Incident Response 3.6.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Procedure ownership</w:t>
      </w:r>
    </w:p>
    <w:p>
      <w:r>
        <w:rPr>
          <w:b/>
        </w:rPr>
        <w:t xml:space="preserve">Owner and backup  </w:t>
      </w:r>
      <w:r>
        <w:t>[REPLACE responsible reporting and evidence roles and verified alternate contacts]</w:t>
      </w:r>
    </w:p>
    <w:p>
      <w:r>
        <w:rPr>
          <w:b/>
        </w:rPr>
        <w:t xml:space="preserve">Approval version and scope  </w:t>
      </w:r>
      <w:r>
        <w:t>[REPLACE approver date applicable systems contracts clauses and responsibilities]</w:t>
      </w:r>
    </w:p>
    <w:p>
      <w:r>
        <w:rPr>
          <w:b/>
        </w:rPr>
        <w:t xml:space="preserve">Restricted records  </w:t>
      </w:r>
      <w:r>
        <w:t>[REPLACE incident register action tracker timeline and protected evidence locations]</w:t>
      </w:r>
    </w:p>
    <w:p>
      <w:r>
        <w:rPr>
          <w:b/>
        </w:rPr>
        <w:t xml:space="preserve">Stop and escalation route  </w:t>
      </w:r>
      <w:r>
        <w:t>[REPLACE failed portal access unavailable officials unsafe collection containment dependencies and qualified assistance]</w:t>
      </w:r>
    </w:p>
    <w:p>
      <w:r>
        <w:rPr>
          <w:b/>
        </w:rPr>
        <w:t>Keep completed material in your approved environment. Keep CUI, incident details, credentials, logs and evidence in protected approved storage. Use restricted references in ordinary trackers. This website does not receive incident reports or provide emergency response. Do not email incident material or completed worksheets to us.</w:t>
      </w:r>
    </w:p>
    <w:p>
      <w:pPr>
        <w:pStyle w:val="Heading2"/>
      </w:pPr>
      <w:r>
        <w:t>Prepare the reporting matrix</w:t>
      </w:r>
    </w:p>
    <w:p>
      <w:pPr>
        <w:pStyle w:val="ListNumber"/>
        <w:numPr>
          <w:ilvl w:val="0"/>
          <w:numId w:val="10"/>
        </w:numPr>
      </w:pPr>
      <w:r>
        <w:t>List each applicable contract law and policy with its trigger and clock-start event. Include internal officials external authorities prime/customer duties and providers.</w:t>
      </w:r>
    </w:p>
    <w:p>
      <w:pPr>
        <w:pStyle w:val="ListNumber"/>
        <w:numPr>
          <w:ilvl w:val="0"/>
          <w:numId w:val="10"/>
        </w:numPr>
      </w:pPr>
      <w:r>
        <w:t>For each recipient record the approved destination required information access prerequisites owner backup and failed-delivery escalation. Verify access through official instructions without sending a test report.</w:t>
      </w:r>
    </w:p>
    <w:p>
      <w:pPr>
        <w:pStyle w:val="ListNumber"/>
        <w:numPr>
          <w:ilvl w:val="0"/>
          <w:numId w:val="10"/>
        </w:numPr>
      </w:pPr>
      <w:r>
        <w:t>Have responsible contracts/legal personnel confirm applicability and timing. Do not assume a vendor internal or prime notification satisfies every required recipient.</w:t>
      </w:r>
    </w:p>
    <w:p>
      <w:r>
        <w:br w:type="page"/>
      </w:r>
    </w:p>
    <w:p>
      <w:pPr>
        <w:pStyle w:val="Heading1"/>
      </w:pPr>
      <w:r>
        <w:t>Record and report an incident</w:t>
      </w:r>
    </w:p>
    <w:p>
      <w:pPr>
        <w:pStyle w:val="ListNumber"/>
        <w:numPr>
          <w:ilvl w:val="0"/>
          <w:numId w:val="11"/>
        </w:numPr>
      </w:pPr>
      <w:r>
        <w:t>Open a restricted incident ID. Record discovery date time and time zone reporter current scope observed facts unknowns and immediate impact. Use references in ordinary spreadsheets.</w:t>
      </w:r>
    </w:p>
    <w:p>
      <w:pPr>
        <w:pStyle w:val="ListNumber"/>
        <w:numPr>
          <w:ilvl w:val="0"/>
          <w:numId w:val="11"/>
        </w:numPr>
      </w:pPr>
      <w:r>
        <w:t>Alert the designated internal officials and response lead or backup through a trusted route. Record delivery acknowledgment escalation and decision references.</w:t>
      </w:r>
    </w:p>
    <w:p>
      <w:pPr>
        <w:pStyle w:val="ListNumber"/>
        <w:numPr>
          <w:ilvl w:val="0"/>
          <w:numId w:val="11"/>
        </w:numPr>
      </w:pPr>
      <w:r>
        <w:t>Evaluate each applicable external reporting trigger while the investigation continues. Identify the actual deadline and its basis manually in the approved record. Do not wait for confirmed theft if the applicable trigger is already met.</w:t>
      </w:r>
    </w:p>
    <w:p>
      <w:pPr>
        <w:pStyle w:val="ListNumber"/>
        <w:numPr>
          <w:ilvl w:val="0"/>
          <w:numId w:val="11"/>
        </w:numPr>
      </w:pPr>
      <w:r>
        <w:t>Have the authorized owner submit required reports through official approved destinations. Record actual submission time time zone recipient receipt/report number and required follow-up. A draft or attempted access is not a receipt.</w:t>
      </w:r>
    </w:p>
    <w:p>
      <w:pPr>
        <w:pStyle w:val="ListNumber"/>
        <w:numPr>
          <w:ilvl w:val="0"/>
          <w:numId w:val="11"/>
        </w:numPr>
      </w:pPr>
      <w:r>
        <w:t>For failed access or delivery escalate promptly using current official instructions and the approved backup. Record attempts. Do not assume an outage or help request extends the deadline.</w:t>
      </w:r>
    </w:p>
    <w:p>
      <w:pPr>
        <w:pStyle w:val="Heading2"/>
      </w:pPr>
      <w:r>
        <w:t>Fields for each reporting obligation</w:t>
      </w:r>
    </w:p>
    <w:p>
      <w:r>
        <w:rPr>
          <w:b/>
        </w:rPr>
        <w:t xml:space="preserve">Rule and trigger  </w:t>
      </w:r>
      <w:r>
        <w:t>[REPLACE contract law or policy version event and applicability decision with responsible reviewer]</w:t>
      </w:r>
    </w:p>
    <w:p>
      <w:r>
        <w:rPr>
          <w:b/>
        </w:rPr>
        <w:t xml:space="preserve">Timing and owner  </w:t>
      </w:r>
      <w:r>
        <w:t>[REPLACE clock start date time timezone timing basis manual due review owner and backup]</w:t>
      </w:r>
    </w:p>
    <w:p>
      <w:r>
        <w:rPr>
          <w:b/>
        </w:rPr>
        <w:t xml:space="preserve">Recipient and channel  </w:t>
      </w:r>
      <w:r>
        <w:t>[REPLACE internal official external authority or other recipient approved destination and access]</w:t>
      </w:r>
    </w:p>
    <w:p>
      <w:r>
        <w:rPr>
          <w:b/>
        </w:rPr>
        <w:t xml:space="preserve">Delivery and updates  </w:t>
      </w:r>
      <w:r>
        <w:t>[REPLACE actual submission timestamp receipt report reference acknowledgment follow-up and failed-delivery escalation]</w:t>
      </w:r>
    </w:p>
    <w:p>
      <w:r>
        <w:br w:type="page"/>
      </w:r>
    </w:p>
    <w:p>
      <w:pPr>
        <w:pStyle w:val="Heading1"/>
      </w:pPr>
      <w:r>
        <w:t>Protect evidence during response and recovery</w:t>
      </w:r>
    </w:p>
    <w:p>
      <w:pPr>
        <w:pStyle w:val="ListNumber"/>
        <w:numPr>
          <w:ilvl w:val="0"/>
          <w:numId w:val="12"/>
        </w:numPr>
      </w:pPr>
      <w:r>
        <w:t>The authorized responder and custodian determine what to preserve while limiting harm. Consider system images volatile evidence relevant logs collection limits and business dependencies. Get qualified collection assistance when needed.</w:t>
      </w:r>
    </w:p>
    <w:p>
      <w:pPr>
        <w:pStyle w:val="ListNumber"/>
        <w:numPr>
          <w:ilvl w:val="0"/>
          <w:numId w:val="12"/>
        </w:numPr>
      </w:pPr>
      <w:r>
        <w:t>Keep originals in restricted approved storage. Record source collector actual collection time time zone method query or time range integrity checks where appropriate and each transfer. Keep unknown or lost periods explicit.</w:t>
      </w:r>
    </w:p>
    <w:p>
      <w:pPr>
        <w:pStyle w:val="ListNumber"/>
        <w:numPr>
          <w:ilvl w:val="0"/>
          <w:numId w:val="12"/>
        </w:numPr>
      </w:pPr>
      <w:r>
        <w:t>Avoid automatic deletion routine reboots reimaging or cleanup that may destroy needed evidence. Document any urgent containment decision and its effect on evidence. A snapshot or service retention window alone is not a full collection.</w:t>
      </w:r>
    </w:p>
    <w:p>
      <w:pPr>
        <w:pStyle w:val="ListNumber"/>
        <w:numPr>
          <w:ilvl w:val="0"/>
          <w:numId w:val="12"/>
        </w:numPr>
      </w:pPr>
      <w:r>
        <w:t>Apply applicable retention and preservation duties and requests. Keep evidence protected through authorized recovery and follow-up; review release or deletion only through the approved retention/legal process.</w:t>
      </w:r>
    </w:p>
    <w:p>
      <w:pPr>
        <w:pStyle w:val="ListNumber"/>
        <w:numPr>
          <w:ilvl w:val="0"/>
          <w:numId w:val="12"/>
        </w:numPr>
      </w:pPr>
      <w:r>
        <w:t>Confirm cause and unauthorized access are addressed. Record known-good recovery source access and business tests recovery approver monitoring and remaining actions. Keep recovery and report closure as separate decisions.</w:t>
      </w:r>
    </w:p>
    <w:p>
      <w:r>
        <w:rPr>
          <w:b/>
        </w:rPr>
        <w:t xml:space="preserve">Evidence scope and custodian  </w:t>
      </w:r>
      <w:r>
        <w:t>[REPLACE specified systems accounts data logs provider records collection authority and safe assistance]</w:t>
      </w:r>
    </w:p>
    <w:p>
      <w:r>
        <w:rPr>
          <w:b/>
        </w:rPr>
        <w:t xml:space="preserve">Collection and transfers  </w:t>
      </w:r>
      <w:r>
        <w:t>[REPLACE protected references originals source method time timezone collector integrity custody and access]</w:t>
      </w:r>
    </w:p>
    <w:p>
      <w:r>
        <w:rPr>
          <w:b/>
        </w:rPr>
        <w:t xml:space="preserve">Preservation and limits  </w:t>
      </w:r>
      <w:r>
        <w:t>[REPLACE actual contract/legal duty storage retention lost evidence gaps requests and approved disposition]</w:t>
      </w:r>
    </w:p>
    <w:p>
      <w:r>
        <w:rPr>
          <w:b/>
        </w:rPr>
        <w:t xml:space="preserve">Recovery and follow up  </w:t>
      </w:r>
      <w:r>
        <w:t>[REPLACE authorized source checks actual results approval recurrence monitoring notifications and remaining work]</w:t>
      </w:r>
    </w:p>
    <w:p>
      <w:r>
        <w:br w:type="page"/>
      </w:r>
    </w:p>
    <w:p>
      <w:pPr>
        <w:pStyle w:val="Heading1"/>
      </w:pPr>
      <w:r>
        <w:t>Applicable DFARS duties and rehearsal</w:t>
      </w:r>
    </w:p>
    <w:p>
      <w:r>
        <w:rPr>
          <w:b w:val="0"/>
        </w:rPr>
        <w:t>For contracts containing DFARS 252.204-7012, review the actual version. Its trigger includes an incident affecting a covered contractor information system or covered defense information on it, or the ability to perform designated operationally critical support. Rapid reporting is within 72 hours of discovery. Do not wait for a final investigation.</w:t>
      </w:r>
    </w:p>
    <w:p>
      <w:r>
        <w:rPr>
          <w:b w:val="0"/>
        </w:rPr>
        <w:t>Preserve and protect specified affected-system images and relevant monitoring/packet capture data for at least 90 days from report submission. Follow current official instructions for additional evidence and isolated malicious software. Do not send malware to the contracting officer or this website.</w:t>
      </w:r>
    </w:p>
    <w:p>
      <w:r>
        <w:rPr>
          <w:b w:val="0"/>
        </w:rPr>
        <w:t>Prepare the required reporting access, including the clause medium-assurance certificate prerequisite. Review subcontractor reporting and incident-report-number duties plus additional terms. Notifying the prime alone does not establish submission to DoD. Follow the official process and retain the actual receipt.</w:t>
      </w:r>
    </w:p>
    <w:p>
      <w:pPr>
        <w:pStyle w:val="Heading2"/>
      </w:pPr>
      <w:r>
        <w:t>Rehearse without sending a report</w:t>
      </w:r>
    </w:p>
    <w:p>
      <w:pPr>
        <w:pStyle w:val="ListNumber"/>
        <w:numPr>
          <w:ilvl w:val="0"/>
          <w:numId w:val="13"/>
        </w:numPr>
      </w:pPr>
      <w:r>
        <w:t>Use fictional incident details and inspect the approved recipient matrix backup access and escalation procedure. Do not send government customer emergency or incident notifications as a tabletop action.</w:t>
      </w:r>
    </w:p>
    <w:p>
      <w:pPr>
        <w:pStyle w:val="ListNumber"/>
        <w:numPr>
          <w:ilvl w:val="0"/>
          <w:numId w:val="13"/>
        </w:numPr>
      </w:pPr>
      <w:r>
        <w:t>Record actual exercise date participants expected and observed results missing access unperformed actions and safety limits. The example answer key is not a test record.</w:t>
      </w:r>
    </w:p>
    <w:p>
      <w:pPr>
        <w:pStyle w:val="ListNumber"/>
        <w:numPr>
          <w:ilvl w:val="0"/>
          <w:numId w:val="13"/>
        </w:numPr>
      </w:pPr>
      <w:r>
        <w:t>Assign failures to an owner and due date. Check the correction and perform an appropriately authorized retest. Keep technical actions untested until actually verified.</w:t>
      </w:r>
    </w:p>
    <w:p>
      <w:pPr>
        <w:pStyle w:val="Heading2"/>
      </w:pPr>
      <w:r>
        <w:t>Sources and related materials</w:t>
      </w:r>
    </w:p>
    <w:p>
      <w:r>
        <w:rPr>
          <w:b w:val="0"/>
        </w:rPr>
        <w:t>Official baseline: NIST SP 800-171 Revision 2. Assessment objectives: NIST SP 800-171A June 2018, section 3.6.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https://purposefulsecurity.com/cmmc-microsoft-implementation/incident-response</w:t>
      </w:r>
    </w:p>
    <w:p>
      <w:r>
        <w:rPr>
          <w:b w:val="0"/>
        </w:rPr>
        <w:t>Contract reporting source for applicable DFARS duties:</w:t>
      </w:r>
    </w:p>
    <w:p>
      <w:r>
        <w:rPr>
          <w:b w:val="0"/>
        </w:rPr>
        <w:t>https://www.acquisition.gov/dfars/252.204-7012-safeguarding-covered-defense-information-and-cyber-incident-reporting.</w:t>
      </w:r>
    </w:p>
    <w:p>
      <w:r>
        <w:rPr>
          <w:b w:val="0"/>
        </w:rPr>
        <w:t>Official reporting destination identified in the clause: https://dibnet.dod.mil. Arrange required access before an incident. Do not submit exercise reports.</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Incident reporting and evidence procedure</dc:title>
  <dc:subject>CMMC Incident Response working aid</dc:subject>
  <dc:creator/>
  <cp:keywords>Purposeful Security; CMMC; Incident Response</cp:keywords>
  <dc:description/>
  <cp:lastModifiedBy/>
  <cp:revision>1</cp:revision>
  <dcterms:created xsi:type="dcterms:W3CDTF">2026-10-27T00:00:00Z</dcterms:created>
  <dcterms:modified xsi:type="dcterms:W3CDTF">2026-10-27T00:00:00Z</dcterms:modified>
  <cp:category/>
</cp:coreProperties>
</file>