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System and Communications Protection plan</w:t>
      </w:r>
    </w:p>
    <w:p>
      <w:r>
        <w:rPr>
          <w:b w:val="0"/>
        </w:rPr>
        <w:t>Define how the organization protects boundaries, architecture, network flows, communications sessions, cryptographic keys, collaborative technologies and stored CUI. Assign the decisions and evidence responsibilities for every requirement before relying on the controls.</w:t>
      </w:r>
    </w:p>
    <w:p>
      <w:r>
        <w:rPr>
          <w:b/>
        </w:rPr>
        <w:t>Editable working aid for CMMC Level 2 System and Communications Protection 3.13.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authority and review</w:t>
      </w:r>
    </w:p>
    <w:p>
      <w:r>
        <w:rPr>
          <w:b/>
        </w:rPr>
        <w:t xml:space="preserve">Approved system boundary  </w:t>
      </w:r>
      <w:r>
        <w:t>[REPLACE systems external and internal trust crossings public components remote endpoints stored copies and provider duties]</w:t>
      </w:r>
    </w:p>
    <w:p>
      <w:r>
        <w:rPr>
          <w:b/>
        </w:rPr>
        <w:t xml:space="preserve">Accountable roles  </w:t>
      </w:r>
      <w:r>
        <w:t>[REPLACE network system architecture development application identity key collaboration and verification owners with backup coverage]</w:t>
      </w:r>
    </w:p>
    <w:p>
      <w:r>
        <w:rPr>
          <w:b/>
        </w:rPr>
        <w:t xml:space="preserve">Approval and review  </w:t>
      </w:r>
      <w:r>
        <w:t>[REPLACE version approver effective date organization-defined review interval and change triggers]</w:t>
      </w:r>
    </w:p>
    <w:p>
      <w:r>
        <w:rPr>
          <w:b/>
        </w:rPr>
        <w:t xml:space="preserve">Restricted records  </w:t>
      </w:r>
      <w:r>
        <w:t>[REPLACE diagram flow inventory key identifiers evidence locations access retention and review process]</w:t>
      </w:r>
    </w:p>
    <w:p>
      <w:r>
        <w:rPr>
          <w:b/>
        </w:rPr>
        <w:t>Keep completed material in your approved environment. Keep CUI, passwords, keys, packet contents, detailed network/system records and evidence in approved restricted storage. Use minimal restricted references in ordinary trackers. Do not send reports or completed materials to this website. Exercises use fictional records and approved test identities only. Do not change production routes, export secrets, capture staff, run unapproved code or disrupt sessions as an exercise.</w:t>
      </w:r>
    </w:p>
    <w:p>
      <w:r>
        <w:rPr>
          <w:b w:val="0"/>
        </w:rPr>
        <w:t>Microsoft instructions have not been tested in a tenant. Confirm actual cloud, identity authority, supported roles, licenses, preservation needs and safe recovery before authorized live changes.</w:t>
      </w:r>
    </w:p>
    <w:p>
      <w:pPr>
        <w:pStyle w:val="Heading2"/>
      </w:pPr>
      <w:r>
        <w:t>Adoption steps</w:t>
      </w:r>
    </w:p>
    <w:p>
      <w:pPr>
        <w:pStyle w:val="ListNumber"/>
        <w:numPr>
          <w:ilvl w:val="0"/>
          <w:numId w:val="10"/>
        </w:numPr>
      </w:pPr>
      <w:r>
        <w:t>Map the actual CUI boundary, data paths and customer/provider responsibilities. Resolve unknown cloud support and licensing before choosing a control.</w:t>
      </w:r>
    </w:p>
    <w:p>
      <w:pPr>
        <w:pStyle w:val="ListNumber"/>
        <w:numPr>
          <w:ilvl w:val="0"/>
          <w:numId w:val="10"/>
        </w:numPr>
      </w:pPr>
      <w:r>
        <w:t>Have responsible owners complete the decision fields below and link approved designs and procedures. Include AD DS-only, hybrid, Entra and remote-access paths actually used.</w:t>
      </w:r>
    </w:p>
    <w:p>
      <w:pPr>
        <w:pStyle w:val="ListNumber"/>
        <w:numPr>
          <w:ilvl w:val="0"/>
          <w:numId w:val="10"/>
        </w:numPr>
      </w:pPr>
      <w:r>
        <w:t>Authorize safe verification with harmless data, scoped changes and recovery. Keep missing evidence and exceptions assigned. Approve the completed plan before operational use.</w:t>
      </w:r>
    </w:p>
    <w:p>
      <w:r>
        <w:br w:type="page"/>
      </w:r>
    </w:p>
    <w:p>
      <w:pPr>
        <w:pStyle w:val="Heading1"/>
      </w:pPr>
      <w:r>
        <w:t>3.13.1 Protect external and key internal boundaries</w:t>
      </w:r>
    </w:p>
    <w:p>
      <w:r>
        <w:rPr>
          <w:b w:val="0"/>
        </w:rPr>
        <w:t>Find where communications enter, leave or cross trust levels. Monitoring, traffic control and protection each need evidence at external and key internal boundaries.</w:t>
      </w:r>
    </w:p>
    <w:p>
      <w:pPr>
        <w:pStyle w:val="Heading2"/>
      </w:pPr>
      <w:r>
        <w:t>Decisions to establish</w:t>
      </w:r>
    </w:p>
    <w:p>
      <w:r>
        <w:rPr>
          <w:b/>
        </w:rPr>
        <w:t xml:space="preserve">Draw the real boundaries  </w:t>
      </w:r>
      <w:r>
        <w:t>[REPLACE Map internet, partner, remote-access, cloud and internal trust crossings. Include CUI services, management networks and provider responsibilities. A building perimeter or Azure subscription is not automatically the complete system boundary.]</w:t>
      </w:r>
    </w:p>
    <w:p>
      <w:r>
        <w:rPr>
          <w:b/>
        </w:rPr>
        <w:t xml:space="preserve">Assign monitoring and enforcement  </w:t>
      </w:r>
      <w:r>
        <w:t>[REPLACE For each crossing name its owner, permitted flows, logging/review route and safeguards. Review both directions and alternate routes. Boundary logs need an accountable reviewer and a response process; an installed firewall is not proof of monitoring.]</w:t>
      </w:r>
    </w:p>
    <w:p>
      <w:r>
        <w:rPr>
          <w:b/>
        </w:rPr>
        <w:t xml:space="preserve">Check representative flows  </w:t>
      </w:r>
      <w:r>
        <w:t>[REPLACE With authorization, inspect effective rules and observe harmless allowed and denied traffic. Check collection and review of relevant events at both external and internal points. Retain restricted references rather than addresses, captures or CUI in the public templates.]</w:t>
      </w:r>
    </w:p>
    <w:p>
      <w:pPr>
        <w:pStyle w:val="Heading2"/>
      </w:pPr>
      <w:r>
        <w:t>Evidence responsibilities</w:t>
      </w:r>
    </w:p>
    <w:p>
      <w:r>
        <w:rPr>
          <w:b w:val="0"/>
        </w:rPr>
        <w:t>3.13.1[a]: Versioned external boundary, interfaces, providers and owner approval.</w:t>
      </w:r>
    </w:p>
    <w:p>
      <w:r>
        <w:rPr>
          <w:b w:val="0"/>
        </w:rPr>
        <w:t>3.13.1[b]: Internal boundary rationale, connected components and enforcement points.</w:t>
      </w:r>
    </w:p>
    <w:p>
      <w:r>
        <w:rPr>
          <w:b w:val="0"/>
        </w:rPr>
        <w:t>3.13.1[c]: External log source, actual event reference, reviewer and disposition.</w:t>
      </w:r>
    </w:p>
    <w:p>
      <w:r>
        <w:rPr>
          <w:b w:val="0"/>
        </w:rPr>
        <w:t>3.13.1[d]: Internal event source, coverage limits and actual review reference.</w:t>
      </w:r>
    </w:p>
    <w:p>
      <w:r>
        <w:rPr>
          <w:b w:val="0"/>
        </w:rPr>
        <w:t>3.13.1[e]: Effective external rules and actual allowed/denied flow checks.</w:t>
      </w:r>
    </w:p>
    <w:p>
      <w:r>
        <w:rPr>
          <w:b w:val="0"/>
        </w:rPr>
        <w:t>3.13.1[f]: Internal rule scope, representative results and untested paths.</w:t>
      </w:r>
    </w:p>
    <w:p>
      <w:r>
        <w:rPr>
          <w:b w:val="0"/>
        </w:rPr>
        <w:t>3.13.1[g]: External safeguard design, effective configuration and observed protection.</w:t>
      </w:r>
    </w:p>
    <w:p>
      <w:r>
        <w:rPr>
          <w:b w:val="0"/>
        </w:rPr>
        <w:t>3.13.1[h]: Internal safeguard configuration, provider evidence and actual checks.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Contain an uncovered route through approved change, preserve relevant events and assess exposure. If a rule blocks essential traffic, restore the last approved scoped configuration using the recovery path, then recheck both protection and service.</w:t>
      </w:r>
    </w:p>
    <w:p>
      <w:r>
        <w:rPr>
          <w:b w:val="0"/>
        </w:rPr>
        <w:t>Resources: Use existing diagrams, firewall records and Windows Firewall where appropriate. Central log collection, retention and cloud traffic processing can add cost; a free register does not create monitoring.</w:t>
      </w:r>
    </w:p>
    <w:p>
      <w:r>
        <w:br w:type="page"/>
      </w:r>
    </w:p>
    <w:p>
      <w:pPr>
        <w:pStyle w:val="Heading1"/>
      </w:pPr>
      <w:r>
        <w:t>3.13.2 Build security into architecture, software and engineering</w:t>
      </w:r>
    </w:p>
    <w:p>
      <w:r>
        <w:rPr>
          <w:b w:val="0"/>
        </w:rPr>
        <w:t>Select security principles before implementation, then show that the architecture, development work and system lifecycle actually use them.</w:t>
      </w:r>
    </w:p>
    <w:p>
      <w:pPr>
        <w:pStyle w:val="Heading2"/>
      </w:pPr>
      <w:r>
        <w:t>Decisions to establish</w:t>
      </w:r>
    </w:p>
    <w:p>
      <w:r>
        <w:rPr>
          <w:b/>
        </w:rPr>
        <w:t xml:space="preserve">Identify the three kinds of decisions  </w:t>
      </w:r>
      <w:r>
        <w:t>[REPLACE Document architectural choices such as trust separation and least privilege; development techniques such as threat modeling, code review, dependency review and safe error handling; and engineering principles such as minimized attack surface, secure defaults and lifecycle verification.]</w:t>
      </w:r>
    </w:p>
    <w:p>
      <w:r>
        <w:rPr>
          <w:b/>
        </w:rPr>
        <w:t xml:space="preserve">Apply them to actual changes  </w:t>
      </w:r>
      <w:r>
        <w:t>[REPLACE Link each principle to a design decision, software release or system change. Include configuration scripts, integrations and acquired software; where a supplier performs development, identify the responsibility and obtain relevant assurance rather than declaring development irrelevant.]</w:t>
      </w:r>
    </w:p>
    <w:p>
      <w:r>
        <w:rPr>
          <w:b/>
        </w:rPr>
        <w:t xml:space="preserve">Review implementation and change  </w:t>
      </w:r>
      <w:r>
        <w:t>[REPLACE Sample diagrams against deployed boundaries, releases against required reviews, and system acceptance against security criteria. Track exceptions, defects and approved correction. A policy list alone does not demonstrate use.]</w:t>
      </w:r>
    </w:p>
    <w:p>
      <w:pPr>
        <w:pStyle w:val="Heading2"/>
      </w:pPr>
      <w:r>
        <w:t>Evidence responsibilities</w:t>
      </w:r>
    </w:p>
    <w:p>
      <w:r>
        <w:rPr>
          <w:b w:val="0"/>
        </w:rPr>
        <w:t>3.13.2[a]: Approved design principles and boundary/trust decisions.</w:t>
      </w:r>
    </w:p>
    <w:p>
      <w:r>
        <w:rPr>
          <w:b w:val="0"/>
        </w:rPr>
        <w:t>3.13.2[b]: Development standards, supplier responsibilities and release criteria.</w:t>
      </w:r>
    </w:p>
    <w:p>
      <w:r>
        <w:rPr>
          <w:b w:val="0"/>
        </w:rPr>
        <w:t>3.13.2[c]: Engineering standards and lifecycle/acceptance criteria.</w:t>
      </w:r>
    </w:p>
    <w:p>
      <w:r>
        <w:rPr>
          <w:b w:val="0"/>
        </w:rPr>
        <w:t>3.13.2[d]: Design review, implementation reference and discrepancy resolution.</w:t>
      </w:r>
    </w:p>
    <w:p>
      <w:r>
        <w:rPr>
          <w:b w:val="0"/>
        </w:rPr>
        <w:t>3.13.2[e]: Threat model, code/dependency review and relevant verification records.</w:t>
      </w:r>
    </w:p>
    <w:p>
      <w:r>
        <w:rPr>
          <w:b w:val="0"/>
        </w:rPr>
        <w:t>3.13.2[f]: Requirements, security acceptance, change review and correction evidence.</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Hold a change whose required security review is incomplete. Resolve design gaps before wider release and use the approved rollback if deployed behavior violates a boundary. Keep supplier assurance gaps visible.</w:t>
      </w:r>
    </w:p>
    <w:p>
      <w:r>
        <w:rPr>
          <w:b w:val="0"/>
        </w:rPr>
        <w:t>Resources: Use existing change records, peer review and available development tools first. Specialized testing and supplier assurance may require expertise; tool ownership alone does not show secure development.</w:t>
      </w:r>
    </w:p>
    <w:p>
      <w:r>
        <w:br w:type="page"/>
      </w:r>
    </w:p>
    <w:p>
      <w:pPr>
        <w:pStyle w:val="Heading1"/>
      </w:pPr>
      <w:r>
        <w:t>3.13.3 Separate user work from system management</w:t>
      </w:r>
    </w:p>
    <w:p>
      <w:r>
        <w:rPr>
          <w:b w:val="0"/>
        </w:rPr>
        <w:t>Ordinary use must not expose the controls that administer systems. Identify both functions and enforce their separation through access, interfaces and operating practices.</w:t>
      </w:r>
    </w:p>
    <w:p>
      <w:pPr>
        <w:pStyle w:val="Heading2"/>
      </w:pPr>
      <w:r>
        <w:t>Decisions to establish</w:t>
      </w:r>
    </w:p>
    <w:p>
      <w:r>
        <w:rPr>
          <w:b/>
        </w:rPr>
        <w:t xml:space="preserve">List user and management functions  </w:t>
      </w:r>
      <w:r>
        <w:t>[REPLACE Record ordinary file, application and collaboration tasks separately from account administration, security policy, backups, network changes, hypervisor and application administration.]</w:t>
      </w:r>
    </w:p>
    <w:p>
      <w:r>
        <w:rPr>
          <w:b/>
        </w:rPr>
        <w:t xml:space="preserve">Separate identities and access paths  </w:t>
      </w:r>
      <w:r>
        <w:t>[REPLACE Use dedicated administrative roles/accounts and protected management interfaces appropriate to the design. AD groups, local privileges and Azure/Entra roles require separate review. A different username with the same unrestricted workstation and access paths may leave the underlying separation weak.]</w:t>
      </w:r>
    </w:p>
    <w:p>
      <w:r>
        <w:rPr>
          <w:b/>
        </w:rPr>
        <w:t xml:space="preserve">Verify ordinary-user boundaries  </w:t>
      </w:r>
      <w:r>
        <w:t>[REPLACE Use an approved nonadministrative test identity to confirm it can perform its job but cannot invoke system management functions. Review management network exposure and administrator session use separately.]</w:t>
      </w:r>
    </w:p>
    <w:p>
      <w:pPr>
        <w:pStyle w:val="Heading2"/>
      </w:pPr>
      <w:r>
        <w:t>Evidence responsibilities</w:t>
      </w:r>
    </w:p>
    <w:p>
      <w:r>
        <w:rPr>
          <w:b w:val="0"/>
        </w:rPr>
        <w:t>3.13.3[a]: Approved role/task list and user application scope.</w:t>
      </w:r>
    </w:p>
    <w:p>
      <w:r>
        <w:rPr>
          <w:b w:val="0"/>
        </w:rPr>
        <w:t>3.13.3[b]: Administrative function inventory, privilege roles and management paths.</w:t>
      </w:r>
    </w:p>
    <w:p>
      <w:r>
        <w:rPr>
          <w:b w:val="0"/>
        </w:rPr>
        <w:t>3.13.3[c]: Effective permissions, protected management routes and allowed/denied task results.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Restrict unintended management access through a scoped approved change. Preserve legitimate emergency access and verify it before removing a route. Investigate use of exposed administrative functions.</w:t>
      </w:r>
    </w:p>
    <w:p>
      <w:r>
        <w:rPr>
          <w:b w:val="0"/>
        </w:rPr>
        <w:t>Resources: Existing AD groups, local roles, firewall restrictions and separate administrator accounts can help. Optional privileged identity/access features need their own licenses and do not replace separation testing.</w:t>
      </w:r>
    </w:p>
    <w:p>
      <w:r>
        <w:br w:type="page"/>
      </w:r>
    </w:p>
    <w:p>
      <w:pPr>
        <w:pStyle w:val="Heading1"/>
      </w:pPr>
      <w:r>
        <w:t>3.13.4 Prevent leakage through shared resources</w:t>
      </w:r>
    </w:p>
    <w:p>
      <w:r>
        <w:rPr>
          <w:b w:val="0"/>
        </w:rPr>
        <w:t>Shared hosts and services can expose one user's information to another through temporary files, memory, profiles, print queues or other reused resources.</w:t>
      </w:r>
    </w:p>
    <w:p>
      <w:pPr>
        <w:pStyle w:val="Heading2"/>
      </w:pPr>
      <w:r>
        <w:t>Decisions to establish</w:t>
      </w:r>
    </w:p>
    <w:p>
      <w:r>
        <w:rPr>
          <w:b/>
        </w:rPr>
        <w:t xml:space="preserve">Identify what is shared  </w:t>
      </w:r>
      <w:r>
        <w:t>[REPLACE Include multi-session AVD hosts, shared storage, printers/spoolers, application caches, temporary directories and reused compute resources. Define authorized sharing separately from accidental residue.]</w:t>
      </w:r>
    </w:p>
    <w:p>
      <w:r>
        <w:rPr>
          <w:b/>
        </w:rPr>
        <w:t xml:space="preserve">Apply isolation and safe reuse  </w:t>
      </w:r>
      <w:r>
        <w:t>[REPLACE Use supported OS/application isolation, appropriate permissions, profile handling and resource clearing/reuse controls. Do not grant ordinary users local administrator rights on shared AVD hosts. Review supplier isolation evidence where the customer cannot inspect the underlying resource.]</w:t>
      </w:r>
    </w:p>
    <w:p>
      <w:r>
        <w:rPr>
          <w:b/>
        </w:rPr>
        <w:t xml:space="preserve">Check cross-user access with harmless data  </w:t>
      </w:r>
      <w:r>
        <w:t>[REPLACE Use two approved test identities and made-up files. Check one user cannot retrieve the other's unauthorized temporary, cached or retained content after a task/session and reuse. Do not inspect real staff data or dump memory as an exercise.]</w:t>
      </w:r>
    </w:p>
    <w:p>
      <w:pPr>
        <w:pStyle w:val="Heading2"/>
      </w:pPr>
      <w:r>
        <w:t>Evidence responsibilities</w:t>
      </w:r>
    </w:p>
    <w:p>
      <w:r>
        <w:rPr>
          <w:b w:val="0"/>
        </w:rPr>
        <w:t>3.13.4: Shared-resource inventory, isolation/cleanup rules, provider evidence and safe cross-user checks.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Stop affected sharing or reuse under an approved containment decision, preserve necessary evidence and assess exposure. Correct isolation and verify with harmless data before reopening the resource.</w:t>
      </w:r>
    </w:p>
    <w:p>
      <w:r>
        <w:rPr>
          <w:b w:val="0"/>
        </w:rPr>
        <w:t>Resources: Use supported built-in isolation and existing permissions first. Separate hosts or services may be needed where trust assumptions differ, increasing cost.</w:t>
      </w:r>
    </w:p>
    <w:p>
      <w:r>
        <w:br w:type="page"/>
      </w:r>
    </w:p>
    <w:p>
      <w:pPr>
        <w:pStyle w:val="Heading1"/>
      </w:pPr>
      <w:r>
        <w:t>3.13.5 Separate public components from internal networks</w:t>
      </w:r>
    </w:p>
    <w:p>
      <w:r>
        <w:rPr>
          <w:b w:val="0"/>
        </w:rPr>
        <w:t>A public application needs a deliberately separated network area. Merely giving its subnet a public-facing name does not isolate it.</w:t>
      </w:r>
    </w:p>
    <w:p>
      <w:pPr>
        <w:pStyle w:val="Heading2"/>
      </w:pPr>
      <w:r>
        <w:t>Decisions to establish</w:t>
      </w:r>
    </w:p>
    <w:p>
      <w:r>
        <w:rPr>
          <w:b/>
        </w:rPr>
        <w:t xml:space="preserve">Inventory public components  </w:t>
      </w:r>
      <w:r>
        <w:t>[REPLACE Include public websites, gateways, APIs, remote administration endpoints and provider-hosted components. Record the public interfaces, business purpose, backing services and management routes.]</w:t>
      </w:r>
    </w:p>
    <w:p>
      <w:r>
        <w:rPr>
          <w:b/>
        </w:rPr>
        <w:t xml:space="preserve">Design a separated subnetwork  </w:t>
      </w:r>
      <w:r>
        <w:t>[REPLACE Use physical or logical separation with controlled connections to internal services. For Azure review subnet and network interface NSGs, route tables, peering and other enforcement points. An NSG can contain default virtual-network allows, so association alone does not establish separation.]</w:t>
      </w:r>
    </w:p>
    <w:p>
      <w:r>
        <w:rPr>
          <w:b/>
        </w:rPr>
        <w:t xml:space="preserve">Test constrained reachability  </w:t>
      </w:r>
      <w:r>
        <w:t>[REPLACE Use approved harmless checks to confirm the public service works and unnecessary internal access is denied. Include access from the public component toward internal systems, management access and alternate paths.]</w:t>
      </w:r>
    </w:p>
    <w:p>
      <w:pPr>
        <w:pStyle w:val="Heading2"/>
      </w:pPr>
      <w:r>
        <w:t>Evidence responsibilities</w:t>
      </w:r>
    </w:p>
    <w:p>
      <w:r>
        <w:rPr>
          <w:b w:val="0"/>
        </w:rPr>
        <w:t>3.13.5[a]: Public interface/service inventory, owner and external exposure review.</w:t>
      </w:r>
    </w:p>
    <w:p>
      <w:r>
        <w:rPr>
          <w:b w:val="0"/>
        </w:rPr>
        <w:t>3.13.5[b]: Network design, effective route/rule evidence and safe separation checks.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Remove unintended public/internal exposure through approved change while retaining a safe management route. If internal services were reachable unexpectedly, involve incident handling and review related paths.</w:t>
      </w:r>
    </w:p>
    <w:p>
      <w:r>
        <w:rPr>
          <w:b w:val="0"/>
        </w:rPr>
        <w:t>Resources: Use existing segmented network equipment and appropriate Azure network controls. Additional firewalls, gateways or separate hosting may add cost. Separate subnet names are not a control.</w:t>
      </w:r>
    </w:p>
    <w:p>
      <w:r>
        <w:br w:type="page"/>
      </w:r>
    </w:p>
    <w:p>
      <w:pPr>
        <w:pStyle w:val="Heading1"/>
      </w:pPr>
      <w:r>
        <w:t>3.13.6 Deny traffic by default and permit explicit exceptions</w:t>
      </w:r>
    </w:p>
    <w:p>
      <w:r>
        <w:rPr>
          <w:b w:val="0"/>
        </w:rPr>
        <w:t>Define the traffic the system needs, then verify that everything else in scope is denied. Inbound-only restrictions leave outbound and internal paths unanswered.</w:t>
      </w:r>
    </w:p>
    <w:p>
      <w:pPr>
        <w:pStyle w:val="Heading2"/>
      </w:pPr>
      <w:r>
        <w:t>Decisions to establish</w:t>
      </w:r>
    </w:p>
    <w:p>
      <w:r>
        <w:rPr>
          <w:b/>
        </w:rPr>
        <w:t xml:space="preserve">Approve necessary flows  </w:t>
      </w:r>
      <w:r>
        <w:t>[REPLACE Record source, destination, protocol, port/service, direction, purpose, owner and review/end date using restricted references. Include DNS, identity, time, updates, monitoring and recovery dependencies before changing defaults.]</w:t>
      </w:r>
    </w:p>
    <w:p>
      <w:r>
        <w:rPr>
          <w:b/>
        </w:rPr>
        <w:t xml:space="preserve">Inspect effective defaults and precedence  </w:t>
      </w:r>
      <w:r>
        <w:t>[REPLACE Review host and network layers together. Azure NSGs include low-priority default rules, including virtual-network and outbound internet allows. Lower numeric priorities win. Add approved higher-priority controls where needed; do not assume the presence of an NSG means deny-all. Windows Firewall defaults also need checking per profile and direction.]</w:t>
      </w:r>
    </w:p>
    <w:p>
      <w:r>
        <w:rPr>
          <w:b/>
        </w:rPr>
        <w:t xml:space="preserve">Stage and verify exceptions  </w:t>
      </w:r>
      <w:r>
        <w:t>[REPLACE Use an authorized small scope with recovery access. Check an approved flow succeeds and an unapproved flow is blocked in each relevant direction. Record effective results and exceptions; never deploy a blanket deny without dependency and recovery planning.]</w:t>
      </w:r>
    </w:p>
    <w:p>
      <w:pPr>
        <w:pStyle w:val="Heading2"/>
      </w:pPr>
      <w:r>
        <w:t>Evidence responsibilities</w:t>
      </w:r>
    </w:p>
    <w:p>
      <w:r>
        <w:rPr>
          <w:b w:val="0"/>
        </w:rPr>
        <w:t>3.13.6[a]: Effective default actions, precedence, routes and actual unapproved-flow denial checks.</w:t>
      </w:r>
    </w:p>
    <w:p>
      <w:r>
        <w:rPr>
          <w:b w:val="0"/>
        </w:rPr>
        <w:t>3.13.6[b]: Flow approval, narrowly scoped rule, owner, review date and permitted-flow results.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If an essential service fails, use the approved recovery path and restore only the necessary authorized exception. If unapproved traffic succeeds, contain the route and recheck overlapping defaults and rules.</w:t>
      </w:r>
    </w:p>
    <w:p>
      <w:r>
        <w:rPr>
          <w:b w:val="0"/>
        </w:rPr>
        <w:t>Resources: Built-in host filtering and existing network controls may meet parts of the need. Engineering dependency maps and monitoring still takes time; Azure gateways/firewalls and logs may be separately billed.</w:t>
      </w:r>
    </w:p>
    <w:p>
      <w:r>
        <w:br w:type="page"/>
      </w:r>
    </w:p>
    <w:p>
      <w:pPr>
        <w:pStyle w:val="Heading1"/>
      </w:pPr>
      <w:r>
        <w:t>3.13.7 Prevent actual split tunneling on remote devices</w:t>
      </w:r>
    </w:p>
    <w:p>
      <w:r>
        <w:rPr>
          <w:b w:val="0"/>
        </w:rPr>
        <w:t>Check whether a remote device can connect to organizational systems while also communicating with outside resources through another connection. AVD clipboard or drive redirection is a different issue.</w:t>
      </w:r>
    </w:p>
    <w:p>
      <w:pPr>
        <w:pStyle w:val="Heading2"/>
      </w:pPr>
      <w:r>
        <w:t>Decisions to establish</w:t>
      </w:r>
    </w:p>
    <w:p>
      <w:r>
        <w:rPr>
          <w:b/>
        </w:rPr>
        <w:t xml:space="preserve">Map remote-device connections  </w:t>
      </w:r>
      <w:r>
        <w:t>[REPLACE Identify VPN clients, wired/wireless adapters, secondary interfaces, IPv4/IPv6, routes and local/external destinations while connected. Record client/platform and management authority. A network diagram of only the server misses endpoint routing.]</w:t>
      </w:r>
    </w:p>
    <w:p>
      <w:r>
        <w:rPr>
          <w:b/>
        </w:rPr>
        <w:t xml:space="preserve">Choose supported routing and endpoint controls  </w:t>
      </w:r>
      <w:r>
        <w:t>[REPLACE Use the approved remote-access design to prevent simultaneous outside paths. For Azure VPN Client, optional routing documentation applies to configured point-to-site OpenVPN connections and client/platform versions. Forced routing needs a designed egress path; Azure VPN Gateway does not itself provide internet connectivity. Do not paste a route as a complete design.]</w:t>
      </w:r>
    </w:p>
    <w:p>
      <w:r>
        <w:rPr>
          <w:b/>
        </w:rPr>
        <w:t xml:space="preserve">Verify actual simultaneous behavior  </w:t>
      </w:r>
      <w:r>
        <w:t>[REPLACE With approved test resources, compare routes and permitted organizational access with attempts over other external paths while connected. Include secondary adapters and IPv6 where present, reconnect/restart and relevant client types. Keep packet contents and addresses restricted.]</w:t>
      </w:r>
    </w:p>
    <w:p>
      <w:pPr>
        <w:pStyle w:val="Heading2"/>
      </w:pPr>
      <w:r>
        <w:t>Evidence responsibilities</w:t>
      </w:r>
    </w:p>
    <w:p>
      <w:r>
        <w:rPr>
          <w:b w:val="0"/>
        </w:rPr>
        <w:t>3.13.7: Approved remote-access topology, effective client routes/controls and harmless concurrent-path checks with client/platform limits.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If a bypass exists, suspend the affected remote path or apply approved containment. Correct routing and endpoint controls in a test scope, retain recovery connectivity and check business dependencies before wider rollout.</w:t>
      </w:r>
    </w:p>
    <w:p>
      <w:r>
        <w:rPr>
          <w:b w:val="0"/>
        </w:rPr>
        <w:t>Resources: Use supported existing VPN/client controls where suitable. Forced-tunnel egress and managed endpoints can add cost. AVD redirection restrictions alone do not satisfy this requirement.</w:t>
      </w:r>
    </w:p>
    <w:p>
      <w:r>
        <w:br w:type="page"/>
      </w:r>
    </w:p>
    <w:p>
      <w:pPr>
        <w:pStyle w:val="Heading1"/>
      </w:pPr>
      <w:r>
        <w:t>3.13.8 Protect CUI during transmission</w:t>
      </w:r>
    </w:p>
    <w:p>
      <w:r>
        <w:rPr>
          <w:b w:val="0"/>
        </w:rPr>
        <w:t>Identify how confidentiality is protected on each transmission path. The requirement permits cryptography or alternative physical safeguards that actually protect the transmission.</w:t>
      </w:r>
    </w:p>
    <w:p>
      <w:pPr>
        <w:pStyle w:val="Heading2"/>
      </w:pPr>
      <w:r>
        <w:t>Decisions to establish</w:t>
      </w:r>
    </w:p>
    <w:p>
      <w:r>
        <w:rPr>
          <w:b/>
        </w:rPr>
        <w:t xml:space="preserve">Choose the safeguard per path  </w:t>
      </w:r>
      <w:r>
        <w:t>[REPLACE Map browser, file, email, service-to-service, backup, remote session and voice paths that carry CUI. Identify the cryptographic mechanism and relevant termination points. If relying on alternative physical safeguards, document why they protect the complete path and obtain the appropriate approval.]</w:t>
      </w:r>
    </w:p>
    <w:p>
      <w:r>
        <w:rPr>
          <w:b/>
        </w:rPr>
        <w:t xml:space="preserve">Implement the selected protection  </w:t>
      </w:r>
      <w:r>
        <w:t>[REPLACE Configure supported protocols and endpoints, verify certificates/identity and avoid unprotected fallback. Link cryptography to key management and the module assurance review in 3.13.10 and 3.13.11. A TLS label on the front end does not establish protection after a proxy terminates encryption.]</w:t>
      </w:r>
    </w:p>
    <w:p>
      <w:r>
        <w:rPr>
          <w:b/>
        </w:rPr>
        <w:t xml:space="preserve">Check complete paths  </w:t>
      </w:r>
      <w:r>
        <w:t>[REPLACE Use harmless data and approved observation to verify the negotiated protection across each segment. For a physical alternative, inspect the actual protected route/access rather than treating a private IP or internal network as physical protection.]</w:t>
      </w:r>
    </w:p>
    <w:p>
      <w:pPr>
        <w:pStyle w:val="Heading2"/>
      </w:pPr>
      <w:r>
        <w:t>Evidence responsibilities</w:t>
      </w:r>
    </w:p>
    <w:p>
      <w:r>
        <w:rPr>
          <w:b w:val="0"/>
        </w:rPr>
        <w:t>3.13.8[a]: Flow-to-protocol/module mapping, endpoints and intended protection.</w:t>
      </w:r>
    </w:p>
    <w:p>
      <w:r>
        <w:rPr>
          <w:b w:val="0"/>
        </w:rPr>
        <w:t>3.13.8[b]: Physical route, safeguards, rationale and approval; explicit record where none are relied on.</w:t>
      </w:r>
    </w:p>
    <w:p>
      <w:r>
        <w:rPr>
          <w:b w:val="0"/>
        </w:rPr>
        <w:t>3.13.8[c]: Effective segment protection, physical inspection where used and safe verification results.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Stop the affected CUI transfer if protection cannot be established. Use an approved protected route, correct the fault and assess any prior exposure. Never bypass certificate warnings to continue.</w:t>
      </w:r>
    </w:p>
    <w:p>
      <w:r>
        <w:rPr>
          <w:b w:val="0"/>
        </w:rPr>
        <w:t>Resources: Supported TLS/IPsec capabilities may already be available. Certificate operations, suitable gateways and physical protection still need resources; free encryption does not prove validated implementation.</w:t>
      </w:r>
    </w:p>
    <w:p>
      <w:r>
        <w:br w:type="page"/>
      </w:r>
    </w:p>
    <w:p>
      <w:pPr>
        <w:pStyle w:val="Heading1"/>
      </w:pPr>
      <w:r>
        <w:t>3.13.9 Terminate connections at session end and inactivity</w:t>
      </w:r>
    </w:p>
    <w:p>
      <w:r>
        <w:rPr>
          <w:b w:val="0"/>
        </w:rPr>
        <w:t>An idle screen lock, a browser timeout message or an AVD disconnect is not by itself proof that the associated network connections ended.</w:t>
      </w:r>
    </w:p>
    <w:p>
      <w:pPr>
        <w:pStyle w:val="Heading2"/>
      </w:pPr>
      <w:r>
        <w:t>Decisions to establish</w:t>
      </w:r>
    </w:p>
    <w:p>
      <w:r>
        <w:rPr>
          <w:b/>
        </w:rPr>
        <w:t xml:space="preserve">Define inactivity periods  </w:t>
      </w:r>
      <w:r>
        <w:t>[REPLACE Have the system owner define applicable inactivity periods and session types, including remote access, administrative sessions, application sessions and supporting connections. Record exceptions and behavior required at normal session end without inventing a universal timeout.]</w:t>
      </w:r>
    </w:p>
    <w:p>
      <w:r>
        <w:rPr>
          <w:b/>
        </w:rPr>
        <w:t xml:space="preserve">Configure the actual termination mechanism  </w:t>
      </w:r>
      <w:r>
        <w:t>[REPLACE Match application, gateway, VPN, host and remote-session controls to the design. Review what each setting actually ends: display access, application authorization, user session or network connection. Account for background traffic, keepalives and disconnected sessions.]</w:t>
      </w:r>
    </w:p>
    <w:p>
      <w:r>
        <w:rPr>
          <w:b/>
        </w:rPr>
        <w:t xml:space="preserve">Observe both end conditions  </w:t>
      </w:r>
      <w:r>
        <w:t>[REPLACE Use an approved test session with harmless data. Observe connection state before and after normal end, then separately after the defined inactive interval. Record actual elapsed time, affected connections and any remaining session path. Avoid disrupting real users or losing unsaved work.]</w:t>
      </w:r>
    </w:p>
    <w:p>
      <w:pPr>
        <w:pStyle w:val="Heading2"/>
      </w:pPr>
      <w:r>
        <w:t>Evidence responsibilities</w:t>
      </w:r>
    </w:p>
    <w:p>
      <w:r>
        <w:rPr>
          <w:b w:val="0"/>
        </w:rPr>
        <w:t>3.13.9[a]: Session inventory, owner-approved interval and exception rationale.</w:t>
      </w:r>
    </w:p>
    <w:p>
      <w:r>
        <w:rPr>
          <w:b w:val="0"/>
        </w:rPr>
        <w:t>3.13.9[b]: Authorized session-end observation, connection states and residual-path review.</w:t>
      </w:r>
    </w:p>
    <w:p>
      <w:r>
        <w:rPr>
          <w:b w:val="0"/>
        </w:rPr>
        <w:t>3.13.9[c]: Test start/idle/end times, actual connection state and keepalive or client limits.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If connections persist, contain the affected session path and correct the responsible layer. If legitimate work is interrupted, restore approved settings through change control and reassess the interval without silently disabling termination.</w:t>
      </w:r>
    </w:p>
    <w:p>
      <w:r>
        <w:rPr>
          <w:b w:val="0"/>
        </w:rPr>
        <w:t>Resources: Use application and existing network/host timeout controls first. Central policy or advanced session management may need licensing. Manual sign-out instructions alone do not demonstrate automatic inactivity termination.</w:t>
      </w:r>
    </w:p>
    <w:p>
      <w:r>
        <w:br w:type="page"/>
      </w:r>
    </w:p>
    <w:p>
      <w:pPr>
        <w:pStyle w:val="Heading1"/>
      </w:pPr>
      <w:r>
        <w:t>3.13.10 Manage cryptographic keys through their lifecycle</w:t>
      </w:r>
    </w:p>
    <w:p>
      <w:r>
        <w:rPr>
          <w:b w:val="0"/>
        </w:rPr>
        <w:t>Keys need accountable establishment and management wherever cryptography is used, including provider-managed keys and recovery material.</w:t>
      </w:r>
    </w:p>
    <w:p>
      <w:pPr>
        <w:pStyle w:val="Heading2"/>
      </w:pPr>
      <w:r>
        <w:t>Decisions to establish</w:t>
      </w:r>
    </w:p>
    <w:p>
      <w:r>
        <w:rPr>
          <w:b/>
        </w:rPr>
        <w:t xml:space="preserve">Inventory key uses and ownership  </w:t>
      </w:r>
      <w:r>
        <w:t>[REPLACE Record cryptographic purpose, system/provider, key identifiers, generation/import responsibility, approved algorithms/modules and authorized roles. Use references only; never enter private keys, secrets, recovery passwords or seed material in a worksheet.]</w:t>
      </w:r>
    </w:p>
    <w:p>
      <w:r>
        <w:rPr>
          <w:b/>
        </w:rPr>
        <w:t xml:space="preserve">Define the complete lifecycle  </w:t>
      </w:r>
      <w:r>
        <w:t>[REPLACE Specify authorized generation, distribution, storage, access, rotation/replacement, backup/recovery, revocation and retirement according to the actual technology and obligations. Record compromise handling, dependencies, provider duties and retention/recovery needs before any destructive action.]</w:t>
      </w:r>
    </w:p>
    <w:p>
      <w:r>
        <w:rPr>
          <w:b/>
        </w:rPr>
        <w:t xml:space="preserve">Verify operations without disclosing material  </w:t>
      </w:r>
      <w:r>
        <w:t>[REPLACE Review access and lifecycle records. Rehearse authorized recovery with harmless test data and approved test keys in a suitable environment. Check provider evidence and expiry/change notifications. A vault name or automatic rotation switch does not show all dependent systems can use a replacement.]</w:t>
      </w:r>
    </w:p>
    <w:p>
      <w:pPr>
        <w:pStyle w:val="Heading2"/>
      </w:pPr>
      <w:r>
        <w:t>Evidence responsibilities</w:t>
      </w:r>
    </w:p>
    <w:p>
      <w:r>
        <w:rPr>
          <w:b w:val="0"/>
        </w:rPr>
        <w:t>3.13.10[a]: Key-use inventory, generation/establishment evidence and provider responsibility.</w:t>
      </w:r>
    </w:p>
    <w:p>
      <w:r>
        <w:rPr>
          <w:b w:val="0"/>
        </w:rPr>
        <w:t>3.13.10[b]: Lifecycle policy, actual access/operation records, recovery check and compromise procedure.</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For suspected key compromise, invoke incident and key-management procedures. Coordinate replacement and dependent services; do not delete, export or rotate production keys as a training step. Preserve required recovery and evidence.</w:t>
      </w:r>
    </w:p>
    <w:p>
      <w:r>
        <w:rPr>
          <w:b w:val="0"/>
        </w:rPr>
        <w:t>Resources: Use supported existing platform key management and restricted records where suitable. Managed vaults/HSMs and customer-managed keys add cost and operational responsibility; provider-managed keys still require responsibility evidence.</w:t>
      </w:r>
    </w:p>
    <w:p>
      <w:r>
        <w:br w:type="page"/>
      </w:r>
    </w:p>
    <w:p>
      <w:pPr>
        <w:pStyle w:val="Heading1"/>
      </w:pPr>
      <w:r>
        <w:t>3.13.11 Verify the actual FIPS-validated cryptographic module</w:t>
      </w:r>
    </w:p>
    <w:p>
      <w:r>
        <w:rPr>
          <w:b w:val="0"/>
        </w:rPr>
        <w:t>FIPS assurance is about the actual module, version, approved operating conditions and certificate status. An algorithm name, TLS certificate or BitLocker encrypted flag is insufficient.</w:t>
      </w:r>
    </w:p>
    <w:p>
      <w:pPr>
        <w:pStyle w:val="Heading2"/>
      </w:pPr>
      <w:r>
        <w:t>Decisions to establish</w:t>
      </w:r>
    </w:p>
    <w:p>
      <w:r>
        <w:rPr>
          <w:b/>
        </w:rPr>
        <w:t xml:space="preserve">Identify the deployed implementation  </w:t>
      </w:r>
      <w:r>
        <w:t>[REPLACE For each CUI confidentiality use, record product/service, OS/build, cryptographic module and exact version, operational environment and cryptographic function. Determine whether the application actually calls the claimed module; provider services need service-specific assurance evidence.]</w:t>
      </w:r>
    </w:p>
    <w:p>
      <w:r>
        <w:rPr>
          <w:b/>
        </w:rPr>
        <w:t xml:space="preserve">Match validation and Security Policy  </w:t>
      </w:r>
      <w:r>
        <w:t>[REPLACE Locate the applicable NIST CMVP certificate and module Security Policy. Check exact version/environment, approved mode, configuration and caveats, plus current certificate status and applicable transition requirements. Algorithm validation or a vendor statement alone is not module validation. Follow Microsoft release-specific documentation for Windows.]</w:t>
      </w:r>
    </w:p>
    <w:p>
      <w:r>
        <w:rPr>
          <w:b/>
        </w:rPr>
        <w:t xml:space="preserve">Review the supported deployment  </w:t>
      </w:r>
      <w:r>
        <w:t>[REPLACE Compare actual configuration and key setup with all relevant Security Policy conditions. A legacy FIPS policy switch is not universal proof. Do not downgrade Windows to an obsolete release to match a certificate. If assurance is unresolved, choose a supported appropriately validated implementation with qualified review and record the gap.]</w:t>
      </w:r>
    </w:p>
    <w:p>
      <w:pPr>
        <w:pStyle w:val="Heading2"/>
      </w:pPr>
      <w:r>
        <w:t>Evidence responsibilities</w:t>
      </w:r>
    </w:p>
    <w:p>
      <w:r>
        <w:rPr>
          <w:b w:val="0"/>
        </w:rPr>
        <w:t>3.13.11: Module/version/environment, CMVP certificate/status/date, Security Policy conditions, effective configuration and application/provider linkage.</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Do not assert FIPS coverage when the module or deployment cannot be matched. Escalate the gap, protect CUI using an approved alternative and plan a supported change. Never expose keys or alter production cryptography merely to obtain a screenshot.</w:t>
      </w:r>
    </w:p>
    <w:p>
      <w:r>
        <w:rPr>
          <w:b w:val="0"/>
        </w:rPr>
        <w:t>Resources: Official module certificates and Security Policies are public. Mapping complex applications or cloud services may require supplier assistance. Buying an encrypted product does not resolve assurance automatically.</w:t>
      </w:r>
    </w:p>
    <w:p>
      <w:r>
        <w:br w:type="page"/>
      </w:r>
    </w:p>
    <w:p>
      <w:pPr>
        <w:pStyle w:val="Heading1"/>
      </w:pPr>
      <w:r>
        <w:t>3.13.12 Prohibit remote activation and show collaborative-device use</w:t>
      </w:r>
    </w:p>
    <w:p>
      <w:r>
        <w:rPr>
          <w:b w:val="0"/>
        </w:rPr>
        <w:t>People near a camera, microphone or other collaborative device need an indication when it is in use, and remote activation must be prohibited.</w:t>
      </w:r>
    </w:p>
    <w:p>
      <w:pPr>
        <w:pStyle w:val="Heading2"/>
      </w:pPr>
      <w:r>
        <w:t>Decisions to establish</w:t>
      </w:r>
    </w:p>
    <w:p>
      <w:r>
        <w:rPr>
          <w:b/>
        </w:rPr>
        <w:t xml:space="preserve">Inventory collaborative devices  </w:t>
      </w:r>
      <w:r>
        <w:t>[REPLACE Include room systems, webcams, microphones, smart collaboration equipment and relevant host/client redirection. Identify owners, activation paths, local controls and visible/audible indications in the actual room or workstation.]</w:t>
      </w:r>
    </w:p>
    <w:p>
      <w:r>
        <w:rPr>
          <w:b/>
        </w:rPr>
        <w:t xml:space="preserve">Apply activation restrictions and indications  </w:t>
      </w:r>
      <w:r>
        <w:t>[REPLACE Use supported device/OS/application settings and physical controls where appropriate. Review Windows camera/microphone settings with documented desktop-app limitations. A meeting invitation or a privacy toggle alone does not establish remote activation is prohibited across every device.]</w:t>
      </w:r>
    </w:p>
    <w:p>
      <w:r>
        <w:rPr>
          <w:b/>
        </w:rPr>
        <w:t xml:space="preserve">Check safely in an empty test setting  </w:t>
      </w:r>
      <w:r>
        <w:t>[REPLACE With permission and no real staff or visitor capture, verify local users receive the intended in-use indication and that relevant remote activation paths fail. Record actual device/app/version behavior and any uncovered control path.]</w:t>
      </w:r>
    </w:p>
    <w:p>
      <w:pPr>
        <w:pStyle w:val="Heading2"/>
      </w:pPr>
      <w:r>
        <w:t>Evidence responsibilities</w:t>
      </w:r>
    </w:p>
    <w:p>
      <w:r>
        <w:rPr>
          <w:b w:val="0"/>
        </w:rPr>
        <w:t>3.13.12[a]: Device type/location reference, owner, app and remote-control paths.</w:t>
      </w:r>
    </w:p>
    <w:p>
      <w:r>
        <w:rPr>
          <w:b w:val="0"/>
        </w:rPr>
        <w:t>3.13.12[b]: Harmless device-use observation, actual indicator and visibility limitations.</w:t>
      </w:r>
    </w:p>
    <w:p>
      <w:r>
        <w:rPr>
          <w:b w:val="0"/>
        </w:rPr>
        <w:t>3.13.12[c]: Effective restrictions, physical controls where used and safe denied-activation checks.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Disable or disconnect the affected collaborative function under an approved procedure until activation/indication can be assured. Preserve relevant records and address possible exposure without recording people as an investigation shortcut.</w:t>
      </w:r>
    </w:p>
    <w:p>
      <w:r>
        <w:rPr>
          <w:b w:val="0"/>
        </w:rPr>
        <w:t>Resources: Existing device switches, shutters and supported privacy settings can help. Room hardware or application controls may need replacement or licensing; verify actual behavior rather than relying on labels.</w:t>
      </w:r>
    </w:p>
    <w:p>
      <w:r>
        <w:br w:type="page"/>
      </w:r>
    </w:p>
    <w:p>
      <w:pPr>
        <w:pStyle w:val="Heading1"/>
      </w:pPr>
      <w:r>
        <w:t>3.13.13 Control and monitor mobile code</w:t>
      </w:r>
    </w:p>
    <w:p>
      <w:r>
        <w:rPr>
          <w:b w:val="0"/>
        </w:rPr>
        <w:t>Mobile code includes code transferred from another system and executed locally, such as scripts, browser-delivered code and macros. It is not simply software on mobile phones.</w:t>
      </w:r>
    </w:p>
    <w:p>
      <w:pPr>
        <w:pStyle w:val="Heading2"/>
      </w:pPr>
      <w:r>
        <w:t>Decisions to establish</w:t>
      </w:r>
    </w:p>
    <w:p>
      <w:r>
        <w:rPr>
          <w:b/>
        </w:rPr>
        <w:t xml:space="preserve">Define permitted code and execution  </w:t>
      </w:r>
      <w:r>
        <w:t>[REPLACE Identify code types, sources, signing/trust decisions, users and execution hosts. Include browser code, scripts, document macros and downloaded components. Assign approvals and exceptions for business use.]</w:t>
      </w:r>
    </w:p>
    <w:p>
      <w:r>
        <w:rPr>
          <w:b/>
        </w:rPr>
        <w:t xml:space="preserve">Apply host-appropriate controls  </w:t>
      </w:r>
      <w:r>
        <w:t>[REPLACE Use supported browser/application policy and application control to restrict execution. App Control script behavior depends on the host; some hosts can block even when a policy is in audit mode. Stage changes with recovery and harmless approved code; do not assume audit mode has no business impact.]</w:t>
      </w:r>
    </w:p>
    <w:p>
      <w:r>
        <w:rPr>
          <w:b/>
        </w:rPr>
        <w:t xml:space="preserve">Review actual use and enforcement events  </w:t>
      </w:r>
      <w:r>
        <w:t>[REPLACE Select logs that show allowed/denied use for the relevant execution hosts, assign reviewers and retention, and test event collection with harmless code. A control log or block label needs interpretation against actual execution behavior.]</w:t>
      </w:r>
    </w:p>
    <w:p>
      <w:pPr>
        <w:pStyle w:val="Heading2"/>
      </w:pPr>
      <w:r>
        <w:t>Evidence responsibilities</w:t>
      </w:r>
    </w:p>
    <w:p>
      <w:r>
        <w:rPr>
          <w:b w:val="0"/>
        </w:rPr>
        <w:t>3.13.13[a]: Code/host inventory, trust rules, effective controls and harmless execution checks.</w:t>
      </w:r>
    </w:p>
    <w:p>
      <w:r>
        <w:rPr>
          <w:b w:val="0"/>
        </w:rPr>
        <w:t>3.13.13[b]: Actual code-use event references, coverage limits, review and follow-up actions.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Stop unapproved execution through the approved response process and preserve events. For a business-impacting policy error, restore a known approved scoped policy, verify the execution boundary and avoid broad permanent exclusions.</w:t>
      </w:r>
    </w:p>
    <w:p>
      <w:r>
        <w:rPr>
          <w:b w:val="0"/>
        </w:rPr>
        <w:t>Resources: Supported built-in browser and application controls may be available. Central policy, endpoint monitoring and advanced reporting can require licenses; confirm OS feature support before relying on a control.</w:t>
      </w:r>
    </w:p>
    <w:p>
      <w:r>
        <w:br w:type="page"/>
      </w:r>
    </w:p>
    <w:p>
      <w:pPr>
        <w:pStyle w:val="Heading1"/>
      </w:pPr>
      <w:r>
        <w:t>3.13.14 Control and monitor VoIP</w:t>
      </w:r>
    </w:p>
    <w:p>
      <w:r>
        <w:rPr>
          <w:b w:val="0"/>
        </w:rPr>
        <w:t>Voice traffic, signaling, endpoints and recordings need defined controls and monitoring. An encrypted call does not establish every VoIP requirement.</w:t>
      </w:r>
    </w:p>
    <w:p>
      <w:pPr>
        <w:pStyle w:val="Heading2"/>
      </w:pPr>
      <w:r>
        <w:t>Decisions to establish</w:t>
      </w:r>
    </w:p>
    <w:p>
      <w:r>
        <w:rPr>
          <w:b/>
        </w:rPr>
        <w:t xml:space="preserve">Map voice services and dependencies  </w:t>
      </w:r>
      <w:r>
        <w:t>[REPLACE Inventory Teams or other VoIP services, phones, room systems, gateways, direct-routing components, external providers, signaling/media flows and recordings. Identify whether CUI is permitted and where it can be stored.]</w:t>
      </w:r>
    </w:p>
    <w:p>
      <w:r>
        <w:rPr>
          <w:b/>
        </w:rPr>
        <w:t xml:space="preserve">Control authorized voice use  </w:t>
      </w:r>
      <w:r>
        <w:t>[REPLACE Restrict administration, endpoints, external connectivity and calling/meeting features according to approved policy. Teams documents TLS and SRTP transport protection; this is not a blanket end-to-end encryption claim or proof for third-party gateways, recorders and CUI authorization.]</w:t>
      </w:r>
    </w:p>
    <w:p>
      <w:r>
        <w:rPr>
          <w:b/>
        </w:rPr>
        <w:t xml:space="preserve">Monitor relevant use  </w:t>
      </w:r>
      <w:r>
        <w:t>[REPLACE Assign review of appropriate service, endpoint and gateway events for unauthorized or abnormal use. Use an approved fictional test call to check permitted/denied behavior and event review. Call quality metrics alone do not establish security monitoring; do not record real conversations as an exercise.]</w:t>
      </w:r>
    </w:p>
    <w:p>
      <w:pPr>
        <w:pStyle w:val="Heading2"/>
      </w:pPr>
      <w:r>
        <w:t>Evidence responsibilities</w:t>
      </w:r>
    </w:p>
    <w:p>
      <w:r>
        <w:rPr>
          <w:b w:val="0"/>
        </w:rPr>
        <w:t>3.13.14[a]: Voice inventory, effective policy, access/flow restrictions and safe test-call results.</w:t>
      </w:r>
    </w:p>
    <w:p>
      <w:r>
        <w:rPr>
          <w:b w:val="0"/>
        </w:rPr>
        <w:t>3.13.14[b]: Service/endpoint/gateway event references, reviewer, investigation route and coverage limits.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Contain unauthorized calling or exposed administration with the voice owner. Preserve required records, investigate possible disclosure and verify emergency/business calling dependencies before restricting services.</w:t>
      </w:r>
    </w:p>
    <w:p>
      <w:r>
        <w:rPr>
          <w:b w:val="0"/>
        </w:rPr>
        <w:t>Resources: Use existing service administration and logs where available. Teams Phone, calling connectivity, reporting and retention can have separate entitlements and costs; Office ownership alone does not establish them.</w:t>
      </w:r>
    </w:p>
    <w:p>
      <w:r>
        <w:br w:type="page"/>
      </w:r>
    </w:p>
    <w:p>
      <w:pPr>
        <w:pStyle w:val="Heading1"/>
      </w:pPr>
      <w:r>
        <w:t>3.13.15 Protect communications-session authenticity</w:t>
      </w:r>
    </w:p>
    <w:p>
      <w:r>
        <w:rPr>
          <w:b w:val="0"/>
        </w:rPr>
        <w:t>Confirm the communicating parties and preserve session integrity against impersonation or hijacking. Confidentiality and session authenticity are related but distinct.</w:t>
      </w:r>
    </w:p>
    <w:p>
      <w:pPr>
        <w:pStyle w:val="Heading2"/>
      </w:pPr>
      <w:r>
        <w:t>Decisions to establish</w:t>
      </w:r>
    </w:p>
    <w:p>
      <w:r>
        <w:rPr>
          <w:b/>
        </w:rPr>
        <w:t xml:space="preserve">Identify session trust mechanisms  </w:t>
      </w:r>
      <w:r>
        <w:t>[REPLACE Record the protocols, endpoint identity checks, certificates/trust anchors, service/user authentication and relevant session/token protections for web, remote administration, VPN and other communications.]</w:t>
      </w:r>
    </w:p>
    <w:p>
      <w:r>
        <w:rPr>
          <w:b/>
        </w:rPr>
        <w:t xml:space="preserve">Use supported authenticated sessions  </w:t>
      </w:r>
      <w:r>
        <w:t>[REPLACE Configure approved authentication and transport/session integrity controls, certificate validation and appropriate session handling. Protect private keys and tokens through their lifecycle. Do not train users to ignore certificate warnings or rely on a familiar-looking URL alone.]</w:t>
      </w:r>
    </w:p>
    <w:p>
      <w:r>
        <w:rPr>
          <w:b/>
        </w:rPr>
        <w:t xml:space="preserve">Check trust failures safely  </w:t>
      </w:r>
      <w:r>
        <w:t>[REPLACE Use approved test endpoints and identities to check valid sessions work and invalid identity/trust conditions are rejected. Review expiry, revocation and session-reuse behavior appropriate to the protocol without intercepting real communications or collecting credentials.]</w:t>
      </w:r>
    </w:p>
    <w:p>
      <w:pPr>
        <w:pStyle w:val="Heading2"/>
      </w:pPr>
      <w:r>
        <w:t>Evidence responsibilities</w:t>
      </w:r>
    </w:p>
    <w:p>
      <w:r>
        <w:rPr>
          <w:b w:val="0"/>
        </w:rPr>
        <w:t>3.13.15: Protocol/trust design, effective endpoint/session controls and harmless valid/invalid trust checks.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Stop the suspect connection and verify identity through an approved route. Correct trust configuration or replace compromised material using the incident/key process; do not bypass validation to restore convenience.</w:t>
      </w:r>
    </w:p>
    <w:p>
      <w:r>
        <w:rPr>
          <w:b w:val="0"/>
        </w:rPr>
        <w:t>Resources: Supported TLS and integrated authentication are often already available. Certificate management and application changes require effort; a paid certificate alone does not prove complete session authenticity.</w:t>
      </w:r>
    </w:p>
    <w:p>
      <w:r>
        <w:br w:type="page"/>
      </w:r>
    </w:p>
    <w:p>
      <w:pPr>
        <w:pStyle w:val="Heading1"/>
      </w:pPr>
      <w:r>
        <w:t>3.13.16 Protect CUI at rest wherever it is stored</w:t>
      </w:r>
    </w:p>
    <w:p>
      <w:r>
        <w:rPr>
          <w:b w:val="0"/>
        </w:rPr>
        <w:t>Find CUI on endpoints, servers, shared profiles, databases, cloud storage, exports, temporary locations and backups. Each stored copy needs confidentiality protection.</w:t>
      </w:r>
    </w:p>
    <w:p>
      <w:pPr>
        <w:pStyle w:val="Heading2"/>
      </w:pPr>
      <w:r>
        <w:t>Decisions to establish</w:t>
      </w:r>
    </w:p>
    <w:p>
      <w:r>
        <w:rPr>
          <w:b/>
        </w:rPr>
        <w:t xml:space="preserve">Locate stored copies  </w:t>
      </w:r>
      <w:r>
        <w:t>[REPLACE Link the data inventory to actual storage, ownership and provider responsibility. Include AVD profile storage, application caches, offline copies, backup exports and restore staging areas. A protected live database does not cover every derived file.]</w:t>
      </w:r>
    </w:p>
    <w:p>
      <w:r>
        <w:rPr>
          <w:b/>
        </w:rPr>
        <w:t xml:space="preserve">Apply appropriate access and confidentiality safeguards  </w:t>
      </w:r>
      <w:r>
        <w:t>[REPLACE Limit authorized access and implement the approved at-rest protection. For BitLocker confirm supported edition, actual protection state and recovery arrangements. Full-disk encryption does not prevent an authorized signed-in process from reading data; file/service permissions remain necessary.]</w:t>
      </w:r>
    </w:p>
    <w:p>
      <w:r>
        <w:rPr>
          <w:b/>
        </w:rPr>
        <w:t xml:space="preserve">Verify protection and recovery access  </w:t>
      </w:r>
      <w:r>
        <w:t>[REPLACE Use harmless sample data and approved accounts to check authorized/denied access and protected storage state. Link cryptographic protection to 3.13.10 and 3.13.11 assurance. Confirm recovery is possible for authorized roles without copying keys into the record.]</w:t>
      </w:r>
    </w:p>
    <w:p>
      <w:pPr>
        <w:pStyle w:val="Heading2"/>
      </w:pPr>
      <w:r>
        <w:t>Evidence responsibilities</w:t>
      </w:r>
    </w:p>
    <w:p>
      <w:r>
        <w:rPr>
          <w:b w:val="0"/>
        </w:rPr>
        <w:t>3.13.16: Storage inventory, effective access/protection evidence, key/module references and authorized safe checks.</w:t>
      </w:r>
    </w:p>
    <w:p>
      <w:r>
        <w:rPr>
          <w:b/>
        </w:rPr>
        <w:t xml:space="preserve">Owner and implementation reference  </w:t>
      </w:r>
      <w:r>
        <w:t>[REPLACE responsible operator provider responsibilities actual configuration or procedure and effective date]</w:t>
      </w:r>
    </w:p>
    <w:p>
      <w:r>
        <w:rPr>
          <w:b/>
        </w:rPr>
        <w:t xml:space="preserve">Verification and review  </w:t>
      </w:r>
      <w:r>
        <w:t>[REPLACE authorized verifier evidence location actual result unknown coverage and next review date]</w:t>
      </w:r>
    </w:p>
    <w:p>
      <w:r>
        <w:rPr>
          <w:b w:val="0"/>
        </w:rPr>
        <w:t>Failure and recovery: Restrict an exposed copy while preserving necessary evidence and recovery. Investigate possible disclosure, correct access/protection and check related copies. Do not wipe storage or destroy keys as a verification step.</w:t>
      </w:r>
    </w:p>
    <w:p>
      <w:r>
        <w:rPr>
          <w:b w:val="0"/>
        </w:rPr>
        <w:t>Resources: Use supported included encryption and existing permissions where suitable. Windows edition, management, storage encryption options and key services have separate support/cost limits; one encrypted flag does not establish the whole control.</w:t>
      </w:r>
    </w:p>
    <w:p>
      <w:r>
        <w:br w:type="page"/>
      </w:r>
    </w:p>
    <w:p>
      <w:pPr>
        <w:pStyle w:val="Heading1"/>
      </w:pPr>
      <w:r>
        <w:t>Approval and continuing review</w:t>
      </w:r>
    </w:p>
    <w:p>
      <w:r>
        <w:rPr>
          <w:b/>
        </w:rPr>
        <w:t xml:space="preserve">Open gaps  </w:t>
      </w:r>
      <w:r>
        <w:t>[REPLACE objective missing decision or evidence owner due date interim safeguards and later verification]</w:t>
      </w:r>
    </w:p>
    <w:p>
      <w:r>
        <w:rPr>
          <w:b/>
        </w:rPr>
        <w:t xml:space="preserve">Change triggers  </w:t>
      </w:r>
      <w:r>
        <w:t>[REPLACE new public endpoint remote client cloud service cryptographic module key change application release device or discovered control failure]</w:t>
      </w:r>
    </w:p>
    <w:p>
      <w:r>
        <w:rPr>
          <w:b/>
        </w:rPr>
        <w:t xml:space="preserve">Approval  </w:t>
      </w:r>
      <w:r>
        <w:t>[REPLACE system owner security owner authorized approver version date and unresolved limitations]</w:t>
      </w:r>
    </w:p>
    <w:p>
      <w:r>
        <w:rPr>
          <w:b w:val="0"/>
        </w:rPr>
        <w:t>Manual states are Unknown, Not checked, Gap open, Follow-up open and Ready for record review. The last state means a record is prepared for examination; it is not an official assessment finding or proof that a control works.</w:t>
      </w:r>
    </w:p>
    <w:p>
      <w:pPr>
        <w:pStyle w:val="Heading2"/>
      </w:pPr>
      <w:r>
        <w:t>Sources and related materials</w:t>
      </w:r>
    </w:p>
    <w:p>
      <w:r>
        <w:rPr>
          <w:b w:val="0"/>
        </w:rPr>
        <w:t>Official baseline: NIST SP 800-171 Revision 2. Assessment objectives: NIST SP 800-171A June 2018, section 3.13, 16 requirements and 41 objectives. Exact canonical objectives and individual practical checks are included in the online guide. These materials do not establish control effectiveness or CUI service suitability.</w:t>
      </w:r>
    </w:p>
    <w:p>
      <w:r>
        <w:rPr>
          <w:b w:val="0"/>
        </w:rPr>
        <w:t>https://nvlpubs.nist.gov/nistpubs/SpecialPublications/NIST.SP.800-171A.pdf</w:t>
      </w:r>
    </w:p>
    <w:p>
      <w:r>
        <w:rPr>
          <w:b w:val="0"/>
        </w:rPr>
        <w:t>https://nvlpubs.nist.gov/nistpubs/SpecialPublications/NIST.SP.800-171r2.pdf</w:t>
      </w:r>
    </w:p>
    <w:p>
      <w:r>
        <w:rPr>
          <w:b w:val="0"/>
        </w:rPr>
        <w:t>https://purposefulsecurity.com/cmmc-microsoft-implementation/system-and-communications-protection</w:t>
      </w:r>
    </w:p>
    <w:p>
      <w:r>
        <w:rPr>
          <w:b w:val="0"/>
        </w:rPr>
        <w:t>Azure network security groups: https://learn.microsoft.com/en-us/azure/virtual-network/network-security-groups-overview</w:t>
      </w:r>
    </w:p>
    <w:p>
      <w:r>
        <w:rPr>
          <w:b w:val="0"/>
        </w:rPr>
        <w:t>Windows Firewall overview: https://learn.microsoft.com/en-us/windows/security/operating-system-security/network-security/windows-firewall/</w:t>
      </w:r>
    </w:p>
    <w:p>
      <w:r>
        <w:rPr>
          <w:b w:val="0"/>
        </w:rPr>
        <w:t>Azure VPN Client routing options: https://learn.microsoft.com/en-us/azure/vpn-gateway/azure-vpn-client-optional-configurations</w:t>
      </w:r>
    </w:p>
    <w:p>
      <w:r>
        <w:rPr>
          <w:b w:val="0"/>
        </w:rPr>
        <w:t>Windows FIPS 140 validation: https://learn.microsoft.com/en-us/windows/security/security-foundations/certification/fips-140-validation</w:t>
      </w:r>
    </w:p>
    <w:p>
      <w:r>
        <w:rPr>
          <w:b w:val="0"/>
        </w:rPr>
        <w:t>NIST Cryptographic Module Validation Program: https://csrc.nist.gov/projects/cryptographic-module-validation-program/validated-modules</w:t>
      </w:r>
    </w:p>
    <w:p>
      <w:r>
        <w:rPr>
          <w:b w:val="0"/>
        </w:rPr>
        <w:t>Azure Virtual Desktop security recommendations: https://learn.microsoft.com/en-us/azure/virtual-desktop/security-recommendations</w:t>
      </w:r>
    </w:p>
    <w:p>
      <w:r>
        <w:rPr>
          <w:b w:val="0"/>
        </w:rPr>
        <w:t>Configure BitLocker: https://learn.microsoft.com/en-us/windows/security/operating-system-security/data-protection/bitlocker/configure</w:t>
      </w:r>
    </w:p>
    <w:p>
      <w:r>
        <w:rPr>
          <w:b w:val="0"/>
        </w:rPr>
        <w:t>Windows camera and microphone privacy: https://support.microsoft.com/en-us/windows/privacy/windows-camera-microphone-and-privacy</w:t>
      </w:r>
    </w:p>
    <w:p>
      <w:r>
        <w:rPr>
          <w:b w:val="0"/>
        </w:rPr>
        <w:t>App Control script enforcement: https://learn.microsoft.com/en-us/windows/security/application-security/application-control/app-control-for-business/design/script-enforcement</w:t>
      </w:r>
    </w:p>
    <w:p>
      <w:r>
        <w:rPr>
          <w:b w:val="0"/>
        </w:rPr>
        <w:t>Microsoft Teams security guide: https://learn.microsoft.com/en-us/microsoftteams/teams-security-guide</w:t>
      </w:r>
    </w:p>
    <w:p>
      <w:r>
        <w:rPr>
          <w:b w:val="0"/>
        </w:rPr>
        <w:t>Microsoft Entra national clouds: https://learn.microsoft.com/en-us/entra/identity-platform/authentication-national-cloud</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and Communications Protection plan</dc:title>
  <dc:subject>CMMC System and Communications Protection working aid</dc:subject>
  <dc:creator>Purposeful Security</dc:creator>
  <cp:keywords>Purposeful Security; CMMC; System and Communications Protection</cp:keywords>
  <dc:description/>
  <cp:lastModifiedBy>Purposeful Security</cp:lastModifiedBy>
  <cp:revision>1</cp:revision>
  <dcterms:created xsi:type="dcterms:W3CDTF">2026-10-28T00:00:00Z</dcterms:created>
  <dcterms:modified xsi:type="dcterms:W3CDTF">2026-10-28T00:00:00Z</dcterms:modified>
  <cp:category/>
</cp:coreProperties>
</file>