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rPr>
        <w:t>Purposeful Security</w:t>
      </w:r>
    </w:p>
    <w:p>
      <w:pPr>
        <w:pStyle w:val="Title"/>
      </w:pPr>
      <w:r>
        <w:t>Change review and recovery procedure</w:t>
      </w:r>
    </w:p>
    <w:p>
      <w:r>
        <w:rPr>
          <w:b w:val="0"/>
        </w:rPr>
        <w:t>Use this procedure to take a proposed configuration change through impact review, a decision, safe implementation and a recorded outcome. Adapt it to your system boundary, providers and emergency authority before use.</w:t>
      </w:r>
    </w:p>
    <w:p>
      <w:r>
        <w:rPr>
          <w:b/>
        </w:rPr>
        <w:t>Editable working aid for CMMC Level 2 Configuration Management 3.4. Replace every [REPLACE ...] field and obtain approval before use.</w:t>
      </w:r>
    </w:p>
    <w:p>
      <w:r>
        <w:rPr>
          <w:b w:val="0"/>
        </w:rPr>
        <w:t>Source review October 27 2026. Suggested procedures and discussion exercises are not official findings or evidence that your systems work.</w:t>
      </w:r>
    </w:p>
    <w:p>
      <w:pPr>
        <w:pStyle w:val="Heading1"/>
      </w:pPr>
      <w:r>
        <w:t>Procedure ownership</w:t>
      </w:r>
    </w:p>
    <w:p>
      <w:r>
        <w:rPr>
          <w:b/>
        </w:rPr>
        <w:t xml:space="preserve">Owner and scope  </w:t>
      </w:r>
      <w:r>
        <w:t>[REPLACE responsible role systems services and change types covered]</w:t>
      </w:r>
    </w:p>
    <w:p>
      <w:r>
        <w:rPr>
          <w:b/>
        </w:rPr>
        <w:t xml:space="preserve">Approval and version  </w:t>
      </w:r>
      <w:r>
        <w:t>[REPLACE approver effective version and date]</w:t>
      </w:r>
    </w:p>
    <w:p>
      <w:r>
        <w:rPr>
          <w:b/>
        </w:rPr>
        <w:t xml:space="preserve">Register and evidence location  </w:t>
      </w:r>
      <w:r>
        <w:t>[REPLACE restricted change register and evidence references]</w:t>
      </w:r>
    </w:p>
    <w:p>
      <w:r>
        <w:rPr>
          <w:b/>
        </w:rPr>
        <w:t xml:space="preserve">Contacts and emergency authority  </w:t>
      </w:r>
      <w:r>
        <w:t>[REPLACE primary backup approved emergency authority and incident route]</w:t>
      </w:r>
    </w:p>
    <w:p>
      <w:r>
        <w:rPr>
          <w:b/>
        </w:rPr>
        <w:t>Keep completed material in your approved environment. Do not send CUI, raw logs, credentials, account details or evidence to this website. Use restricted evidence references in ordinary tracking records.</w:t>
      </w:r>
    </w:p>
    <w:p>
      <w:pPr>
        <w:pStyle w:val="Heading2"/>
      </w:pPr>
      <w:r>
        <w:t>Request and pre-change review</w:t>
      </w:r>
    </w:p>
    <w:p>
      <w:pPr>
        <w:pStyle w:val="ListNumber"/>
        <w:numPr>
          <w:ilvl w:val="0"/>
          <w:numId w:val="10"/>
        </w:numPr>
      </w:pPr>
      <w:r>
        <w:t>Create a request ID. Record affected systems, baseline versions, reason, proposed work, timing and dependencies. Include software, firmware, cloud and image changes.</w:t>
      </w:r>
    </w:p>
    <w:p>
      <w:pPr>
        <w:pStyle w:val="ListNumber"/>
        <w:numPr>
          <w:ilvl w:val="0"/>
          <w:numId w:val="10"/>
        </w:numPr>
      </w:pPr>
      <w:r>
        <w:t>Analyze security impact before implementation. Consider CUI paths, access, connections, authentication, logging, encryption, backups and provider responsibilities as relevant. Record reviewer, date, findings and unanswered questions.</w:t>
      </w:r>
    </w:p>
    <w:p>
      <w:pPr>
        <w:pStyle w:val="ListNumber"/>
        <w:numPr>
          <w:ilvl w:val="0"/>
          <w:numId w:val="10"/>
        </w:numPr>
      </w:pPr>
      <w:r>
        <w:t>Specify the safe pilot, success and stop criteria, essential business tasks and supported recovery route. Resolve significant unknowns before proceeding.</w:t>
      </w:r>
    </w:p>
    <w:p>
      <w:r>
        <w:br w:type="page"/>
      </w:r>
    </w:p>
    <w:p>
      <w:pPr>
        <w:pStyle w:val="Heading1"/>
      </w:pPr>
      <w:r>
        <w:t>Decision and authorized access</w:t>
      </w:r>
    </w:p>
    <w:p>
      <w:pPr>
        <w:pStyle w:val="ListNumber"/>
        <w:numPr>
          <w:ilvl w:val="0"/>
          <w:numId w:val="11"/>
        </w:numPr>
      </w:pPr>
      <w:r>
        <w:t>Obtain approval or disapproval from the authorized decision maker. Record the person or role, date, scope and conditions. Keep rejected requests in the register.</w:t>
      </w:r>
    </w:p>
    <w:p>
      <w:pPr>
        <w:pStyle w:val="ListNumber"/>
        <w:numPr>
          <w:ilvl w:val="0"/>
          <w:numId w:val="11"/>
        </w:numPr>
      </w:pPr>
      <w:r>
        <w:t>Confirm physical access restrictions for the work, including secure areas, consoles, media, escorts and provider maintenance where relevant. Reference the approved restrictions and authorization.</w:t>
      </w:r>
    </w:p>
    <w:p>
      <w:pPr>
        <w:pStyle w:val="ListNumber"/>
        <w:numPr>
          <w:ilvl w:val="0"/>
          <w:numId w:val="11"/>
        </w:numPr>
      </w:pPr>
      <w:r>
        <w:t>Confirm logical access for the people, service identities and deployment tools involved. Check scope, effective rights and emergency access without granting broad standing rights as a shortcut.</w:t>
      </w:r>
    </w:p>
    <w:p>
      <w:pPr>
        <w:pStyle w:val="ListNumber"/>
        <w:numPr>
          <w:ilvl w:val="0"/>
          <w:numId w:val="11"/>
        </w:numPr>
      </w:pPr>
      <w:r>
        <w:t>Make the decision available to the implementer before work begins. Verify the maintenance window, affected users, dependencies, test system and recovery access.</w:t>
      </w:r>
    </w:p>
    <w:p>
      <w:r>
        <w:rPr>
          <w:b/>
        </w:rPr>
        <w:t xml:space="preserve">Decision reference  </w:t>
      </w:r>
      <w:r>
        <w:t>[REPLACE approved or disapproved scope approver date and conditions]</w:t>
      </w:r>
    </w:p>
    <w:p>
      <w:r>
        <w:rPr>
          <w:b/>
        </w:rPr>
        <w:t xml:space="preserve">Access authorization  </w:t>
      </w:r>
      <w:r>
        <w:t>[REPLACE physical and logical restrictions and actual permitted implementers]</w:t>
      </w:r>
    </w:p>
    <w:p>
      <w:r>
        <w:rPr>
          <w:b/>
        </w:rPr>
        <w:t xml:space="preserve">Unresolved questions  </w:t>
      </w:r>
      <w:r>
        <w:t>[REPLACE remaining issue owner due date and whether implementation is blocked]</w:t>
      </w:r>
    </w:p>
    <w:p>
      <w:r>
        <w:br w:type="page"/>
      </w:r>
    </w:p>
    <w:p>
      <w:pPr>
        <w:pStyle w:val="Heading1"/>
      </w:pPr>
      <w:r>
        <w:t>Pilot implementation and recovery</w:t>
      </w:r>
    </w:p>
    <w:p>
      <w:pPr>
        <w:pStyle w:val="ListNumber"/>
        <w:numPr>
          <w:ilvl w:val="0"/>
          <w:numId w:val="12"/>
        </w:numPr>
      </w:pPr>
      <w:r>
        <w:t>Preserve current approved configuration and required recovery materials. Test the change on a representative isolated system using harmless files and approved test identities.</w:t>
      </w:r>
    </w:p>
    <w:p>
      <w:pPr>
        <w:pStyle w:val="ListNumber"/>
        <w:numPr>
          <w:ilvl w:val="0"/>
          <w:numId w:val="12"/>
        </w:numPr>
      </w:pPr>
      <w:r>
        <w:t>Check the intended security effect and essential work. For execution controls, distinguish audit observations from an enforcement test and check allowed and denied cases. Do not use malicious files.</w:t>
      </w:r>
    </w:p>
    <w:p>
      <w:pPr>
        <w:pStyle w:val="ListNumber"/>
        <w:numPr>
          <w:ilvl w:val="0"/>
          <w:numId w:val="12"/>
        </w:numPr>
      </w:pPr>
      <w:r>
        <w:t>If the pilot meets the approved criteria, roll out only to the authorized scope. Record actual implementer, time, settings, versions, results and deviations. Stop at the agreed failure conditions.</w:t>
      </w:r>
    </w:p>
    <w:p>
      <w:pPr>
        <w:pStyle w:val="ListNumber"/>
        <w:numPr>
          <w:ilvl w:val="0"/>
          <w:numId w:val="12"/>
        </w:numPr>
      </w:pPr>
      <w:r>
        <w:t>If the change fails, stop wider rollout and use the supported recovery procedure for the product, policy type and version. Recheck essential tasks and security restrictions after recovery. Retain the failed result and review the cause.</w:t>
      </w:r>
    </w:p>
    <w:p>
      <w:r>
        <w:rPr>
          <w:b w:val="0"/>
        </w:rPr>
        <w:t>Application-control policies can prevent startup. Signed base policies have special update/removal requirements. Do not guess by deleting policy files. A removed policy assignment may leave settings in place; verify actual recovery. For AVD, preserve an approved recovery image and protect profiles. An image rollback does not recover user data or undo every external setting.</w:t>
      </w:r>
    </w:p>
    <w:p>
      <w:r>
        <w:rPr>
          <w:b/>
        </w:rPr>
        <w:t xml:space="preserve">Pilot and stop criteria  </w:t>
      </w:r>
      <w:r>
        <w:t>[REPLACE test scope expected results observed result and stop decision]</w:t>
      </w:r>
    </w:p>
    <w:p>
      <w:r>
        <w:rPr>
          <w:b/>
        </w:rPr>
        <w:t xml:space="preserve">Supported recovery reference  </w:t>
      </w:r>
      <w:r>
        <w:t>[REPLACE validated steps required access offline route if needed and responsible person]</w:t>
      </w:r>
    </w:p>
    <w:p>
      <w:r>
        <w:br w:type="page"/>
      </w:r>
    </w:p>
    <w:p>
      <w:pPr>
        <w:pStyle w:val="Heading1"/>
      </w:pPr>
      <w:r>
        <w:t>Closure emergencies and record review</w:t>
      </w:r>
    </w:p>
    <w:p>
      <w:pPr>
        <w:pStyle w:val="ListNumber"/>
        <w:numPr>
          <w:ilvl w:val="0"/>
          <w:numId w:val="13"/>
        </w:numPr>
      </w:pPr>
      <w:r>
        <w:t>Compare the completed work with the approved request. Record the actual outcome, deviations, evidence and follow-up. Update baseline and inventory references for changed or retired systems.</w:t>
      </w:r>
    </w:p>
    <w:p>
      <w:pPr>
        <w:pStyle w:val="ListNumber"/>
        <w:numPr>
          <w:ilvl w:val="0"/>
          <w:numId w:val="13"/>
        </w:numPr>
      </w:pPr>
      <w:r>
        <w:t>For a rejected or cancelled request, record the decision and reason. For an exception, record limits, owner, expiry or review trigger and how it will be removed.</w:t>
      </w:r>
    </w:p>
    <w:p>
      <w:pPr>
        <w:pStyle w:val="ListNumber"/>
        <w:numPr>
          <w:ilvl w:val="0"/>
          <w:numId w:val="13"/>
        </w:numPr>
      </w:pPr>
      <w:r>
        <w:t>For an emergency, use the approved emergency authority and minimum pre-change impact review. Record decisions and actual timing. Label a later review as later review; never backdate approval.</w:t>
      </w:r>
    </w:p>
    <w:p>
      <w:pPr>
        <w:pStyle w:val="ListNumber"/>
        <w:numPr>
          <w:ilvl w:val="0"/>
          <w:numId w:val="13"/>
        </w:numPr>
      </w:pPr>
      <w:r>
        <w:t>Have the assigned reviewer check the record and unresolved actions. Ready for record review means the row is prepared for review; it does not approve the change or establish compliance.</w:t>
      </w:r>
    </w:p>
    <w:p>
      <w:r>
        <w:rPr>
          <w:b/>
        </w:rPr>
        <w:t xml:space="preserve">Closure and records  </w:t>
      </w:r>
      <w:r>
        <w:t>[REPLACE actual result evidence references baseline inventory updates reviewer and date]</w:t>
      </w:r>
    </w:p>
    <w:p>
      <w:r>
        <w:rPr>
          <w:b/>
        </w:rPr>
        <w:t xml:space="preserve">Exceptions or follow-up  </w:t>
      </w:r>
      <w:r>
        <w:t>[REPLACE owner limits next action due date and review or expiry]</w:t>
      </w:r>
    </w:p>
    <w:p>
      <w:r>
        <w:rPr>
          <w:b/>
        </w:rPr>
        <w:t xml:space="preserve">Emergency review if applicable  </w:t>
      </w:r>
      <w:r>
        <w:t>[REPLACE actual authority pre-change analysis implementation time later review and corrective actions]</w:t>
      </w:r>
    </w:p>
    <w:p>
      <w:pPr>
        <w:pStyle w:val="Heading2"/>
      </w:pPr>
      <w:r>
        <w:t>Sources and related materials</w:t>
      </w:r>
    </w:p>
    <w:p>
      <w:r>
        <w:rPr>
          <w:b w:val="0"/>
        </w:rPr>
        <w:t>Official baseline: NIST SP 800-171 Revision 2. Assessment objectives: NIST SP 800-171A June 2018, section 3.4. The archived assessment edition is used with this CMMC series.</w:t>
      </w:r>
    </w:p>
    <w:p>
      <w:r>
        <w:rPr>
          <w:b w:val="0"/>
        </w:rPr>
        <w:t>https://nvlpubs.nist.gov/nistpubs/SpecialPublications/NIST.SP.800-171A.pdf</w:t>
      </w:r>
    </w:p>
    <w:p>
      <w:r>
        <w:rPr>
          <w:b w:val="0"/>
        </w:rPr>
        <w:t>Microsoft setup paths, licensing limits and supporting references:</w:t>
      </w:r>
    </w:p>
    <w:p>
      <w:r>
        <w:rPr>
          <w:b w:val="0"/>
        </w:rPr>
        <w:t>https://purposefulsecurity.com/cmmc-microsoft-implementation/configuration-management</w:t>
      </w:r>
    </w:p>
    <w:sectPr w:rsidR="00FC693F" w:rsidRPr="0006063C" w:rsidSect="00034616">
      <w:pgSz w:w="12240" w:h="15840"/>
      <w:pgMar w:top="936" w:right="1080" w:bottom="936"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7"/>
    <w:lvlOverride w:ilvl="0">
      <w:startOverride w:val="1"/>
    </w:lvlOverride>
  </w:num>
  <w:num w:numId="11">
    <w:abstractNumId w:val="7"/>
    <w:lvlOverride w:ilvl="0">
      <w:startOverride w:val="1"/>
    </w:lvlOverride>
  </w:num>
  <w:num w:numId="12">
    <w:abstractNumId w:val="7"/>
    <w:lvlOverride w:ilvl="0">
      <w:startOverride w:val="1"/>
    </w:lvlOverride>
  </w:num>
  <w:num w:numId="13">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59" w:lineRule="auto" w:after="140"/>
    </w:pPr>
    <w:rPr>
      <w:rFonts w:ascii="Arial" w:hAnsi="Arial"/>
      <w:b w:val="0"/>
      <w:color w:val="000000"/>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200" w:after="140" w:line="259" w:lineRule="auto"/>
      <w:outlineLvl w:val="0"/>
    </w:pPr>
    <w:rPr>
      <w:rFonts w:asciiTheme="majorHAnsi" w:eastAsiaTheme="majorEastAsia" w:hAnsiTheme="majorHAnsi" w:cstheme="majorBidi" w:ascii="Arial" w:hAnsi="Arial"/>
      <w:b/>
      <w:bCs/>
      <w:color w:val="000000"/>
      <w:sz w:val="30"/>
      <w:szCs w:val="28"/>
    </w:rPr>
  </w:style>
  <w:style w:type="paragraph" w:styleId="Heading2">
    <w:name w:val="heading 2"/>
    <w:basedOn w:val="Normal"/>
    <w:next w:val="Normal"/>
    <w:link w:val="Heading2Char"/>
    <w:uiPriority w:val="9"/>
    <w:unhideWhenUsed/>
    <w:qFormat/>
    <w:rsid w:val="00FC693F"/>
    <w:pPr>
      <w:keepNext/>
      <w:keepLines/>
      <w:spacing w:before="200" w:after="140" w:line="259" w:lineRule="auto"/>
      <w:outlineLvl w:val="1"/>
    </w:pPr>
    <w:rPr>
      <w:rFonts w:asciiTheme="majorHAnsi" w:eastAsiaTheme="majorEastAsia" w:hAnsiTheme="majorHAnsi" w:cstheme="majorBidi" w:ascii="Arial" w:hAnsi="Arial"/>
      <w:b/>
      <w:bCs/>
      <w:color w:val="000000"/>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spacing w:after="140" w:line="259" w:lineRule="auto"/>
      <w:contextualSpacing/>
    </w:pPr>
    <w:rPr>
      <w:rFonts w:asciiTheme="majorHAnsi" w:eastAsiaTheme="majorEastAsia" w:hAnsiTheme="majorHAnsi" w:cstheme="majorBidi" w:ascii="Arial" w:hAnsi="Arial"/>
      <w:b/>
      <w:color w:val="000000"/>
      <w:spacing w:val="5"/>
      <w:kern w:val="28"/>
      <w:sz w:val="4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line="259" w:lineRule="auto" w:after="140"/>
      <w:contextualSpacing/>
    </w:pPr>
    <w:rPr>
      <w:rFonts w:ascii="Arial" w:hAnsi="Arial"/>
      <w:b w:val="0"/>
      <w:color w:val="000000"/>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line="259" w:lineRule="auto" w:after="140"/>
      <w:contextualSpacing/>
    </w:pPr>
    <w:rPr>
      <w:rFonts w:ascii="Arial" w:hAnsi="Arial"/>
      <w:b w:val="0"/>
      <w:color w:val="000000"/>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review and recovery procedure</dc:title>
  <dc:subject>CMMC Configuration Management working aid</dc:subject>
  <dc:creator/>
  <cp:keywords>Purposeful Security; CMMC; Configuration Management</cp:keywords>
  <dc:description/>
  <cp:lastModifiedBy/>
  <cp:revision>1</cp:revision>
  <dcterms:created xsi:type="dcterms:W3CDTF">2026-10-27T00:00:00Z</dcterms:created>
  <dcterms:modified xsi:type="dcterms:W3CDTF">2026-10-27T00:00:00Z</dcterms:modified>
  <cp:category/>
</cp:coreProperties>
</file>